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E29D0">
      <w:pPr>
        <w:spacing w:line="360" w:lineRule="auto"/>
        <w:jc w:val="center"/>
        <w:rPr>
          <w:rFonts w:eastAsia="仿宋"/>
          <w:b/>
          <w:bCs/>
          <w:color w:val="000000"/>
          <w:sz w:val="32"/>
          <w:szCs w:val="32"/>
        </w:rPr>
      </w:pPr>
      <w:r>
        <w:rPr>
          <w:rFonts w:hint="eastAsia" w:eastAsia="仿宋"/>
          <w:b/>
          <w:bCs/>
          <w:color w:val="000000"/>
          <w:sz w:val="32"/>
          <w:szCs w:val="32"/>
          <w:lang w:val="en-US" w:eastAsia="zh-CN"/>
        </w:rPr>
        <w:t>临床试验</w:t>
      </w:r>
      <w:r>
        <w:rPr>
          <w:rFonts w:eastAsia="仿宋"/>
          <w:b/>
          <w:bCs/>
          <w:color w:val="000000"/>
          <w:sz w:val="32"/>
          <w:szCs w:val="32"/>
        </w:rPr>
        <w:t>伦理委员会章程</w:t>
      </w:r>
    </w:p>
    <w:p w14:paraId="692FC77C">
      <w:pPr>
        <w:numPr>
          <w:ilvl w:val="0"/>
          <w:numId w:val="2"/>
        </w:numPr>
        <w:spacing w:line="360" w:lineRule="auto"/>
        <w:rPr>
          <w:rFonts w:eastAsia="仿宋"/>
          <w:b/>
          <w:color w:val="000000"/>
          <w:kern w:val="0"/>
          <w:sz w:val="24"/>
        </w:rPr>
      </w:pPr>
      <w:r>
        <w:rPr>
          <w:rFonts w:eastAsia="仿宋"/>
          <w:b/>
          <w:color w:val="000000"/>
          <w:kern w:val="0"/>
          <w:sz w:val="24"/>
        </w:rPr>
        <w:t>目的</w:t>
      </w:r>
    </w:p>
    <w:p w14:paraId="3D04D502">
      <w:pPr>
        <w:spacing w:line="360" w:lineRule="auto"/>
        <w:ind w:firstLine="480" w:firstLineChars="200"/>
        <w:rPr>
          <w:rFonts w:eastAsia="仿宋"/>
          <w:b/>
          <w:color w:val="000000"/>
          <w:kern w:val="0"/>
          <w:sz w:val="24"/>
        </w:rPr>
      </w:pPr>
      <w:r>
        <w:rPr>
          <w:rFonts w:hint="eastAsia" w:eastAsia="仿宋"/>
          <w:color w:val="000000"/>
          <w:kern w:val="0"/>
          <w:sz w:val="24"/>
        </w:rPr>
        <w:t>为保护临床试验受试者的权益和安全，规范临床试验伦理委员会的组织和运作，</w:t>
      </w:r>
      <w:r>
        <w:rPr>
          <w:rFonts w:hint="eastAsia" w:eastAsia="仿宋"/>
          <w:color w:val="000000"/>
          <w:kern w:val="0"/>
          <w:sz w:val="24"/>
          <w:lang w:val="en-US" w:eastAsia="zh-CN"/>
        </w:rPr>
        <w:t>故</w:t>
      </w:r>
      <w:r>
        <w:rPr>
          <w:rFonts w:hint="eastAsia" w:eastAsia="仿宋"/>
          <w:color w:val="000000"/>
          <w:kern w:val="0"/>
          <w:sz w:val="24"/>
        </w:rPr>
        <w:t>制订本</w:t>
      </w:r>
      <w:r>
        <w:rPr>
          <w:rFonts w:hint="eastAsia" w:eastAsia="仿宋"/>
          <w:color w:val="000000"/>
          <w:kern w:val="0"/>
          <w:sz w:val="24"/>
          <w:lang w:val="en-US" w:eastAsia="zh-CN"/>
        </w:rPr>
        <w:t>章程</w:t>
      </w:r>
      <w:r>
        <w:rPr>
          <w:rFonts w:eastAsia="仿宋"/>
          <w:color w:val="000000"/>
          <w:kern w:val="0"/>
          <w:sz w:val="24"/>
        </w:rPr>
        <w:t>。</w:t>
      </w:r>
    </w:p>
    <w:p w14:paraId="4D6959BF">
      <w:pPr>
        <w:numPr>
          <w:ilvl w:val="0"/>
          <w:numId w:val="2"/>
        </w:numPr>
        <w:spacing w:line="360" w:lineRule="auto"/>
        <w:rPr>
          <w:rFonts w:eastAsia="仿宋"/>
          <w:b/>
          <w:color w:val="000000"/>
          <w:kern w:val="0"/>
          <w:sz w:val="24"/>
        </w:rPr>
      </w:pPr>
      <w:r>
        <w:rPr>
          <w:rFonts w:eastAsia="仿宋"/>
          <w:b/>
          <w:color w:val="000000"/>
          <w:kern w:val="0"/>
          <w:sz w:val="24"/>
        </w:rPr>
        <w:t>范围</w:t>
      </w:r>
    </w:p>
    <w:p w14:paraId="4E2CDDE4">
      <w:pPr>
        <w:autoSpaceDE w:val="0"/>
        <w:autoSpaceDN w:val="0"/>
        <w:spacing w:line="360" w:lineRule="auto"/>
        <w:ind w:firstLine="480" w:firstLineChars="200"/>
        <w:rPr>
          <w:rFonts w:eastAsia="仿宋"/>
          <w:color w:val="000000"/>
          <w:kern w:val="0"/>
          <w:sz w:val="24"/>
        </w:rPr>
      </w:pPr>
      <w:r>
        <w:rPr>
          <w:rFonts w:hint="eastAsia" w:eastAsia="仿宋"/>
          <w:color w:val="000000"/>
          <w:kern w:val="0"/>
          <w:sz w:val="24"/>
        </w:rPr>
        <w:t>适用于临床试验伦理委员会组织、组建以及运作</w:t>
      </w:r>
      <w:r>
        <w:rPr>
          <w:rFonts w:eastAsia="仿宋"/>
          <w:color w:val="000000"/>
          <w:kern w:val="0"/>
          <w:sz w:val="24"/>
        </w:rPr>
        <w:t>。</w:t>
      </w:r>
    </w:p>
    <w:p w14:paraId="07F897AA">
      <w:pPr>
        <w:numPr>
          <w:ilvl w:val="0"/>
          <w:numId w:val="2"/>
        </w:numPr>
        <w:spacing w:line="360" w:lineRule="auto"/>
        <w:rPr>
          <w:rFonts w:eastAsia="仿宋"/>
          <w:b/>
          <w:color w:val="000000"/>
          <w:kern w:val="0"/>
          <w:sz w:val="24"/>
        </w:rPr>
      </w:pPr>
      <w:r>
        <w:rPr>
          <w:rFonts w:eastAsia="仿宋"/>
          <w:b/>
          <w:color w:val="000000"/>
          <w:kern w:val="0"/>
          <w:sz w:val="24"/>
        </w:rPr>
        <w:t>流程</w:t>
      </w:r>
    </w:p>
    <w:p w14:paraId="316DA18C">
      <w:pPr>
        <w:autoSpaceDE w:val="0"/>
        <w:autoSpaceDN w:val="0"/>
        <w:spacing w:line="360" w:lineRule="auto"/>
        <w:rPr>
          <w:rFonts w:hint="eastAsia"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lang w:val="en-US" w:eastAsia="zh-CN"/>
        </w:rPr>
        <w:t xml:space="preserve">3.1 </w:t>
      </w:r>
      <w:r>
        <w:rPr>
          <w:rFonts w:hint="eastAsia" w:ascii="Times New Roman" w:hAnsi="Times New Roman" w:eastAsia="仿宋" w:cs="Times New Roman"/>
          <w:color w:val="000000"/>
          <w:kern w:val="0"/>
          <w:sz w:val="24"/>
        </w:rPr>
        <w:t>总则</w:t>
      </w:r>
    </w:p>
    <w:p w14:paraId="32C8DC4D">
      <w:pPr>
        <w:spacing w:line="360" w:lineRule="auto"/>
        <w:outlineLvl w:val="0"/>
        <w:rPr>
          <w:rFonts w:eastAsia="仿宋"/>
          <w:color w:val="000000"/>
          <w:kern w:val="0"/>
          <w:sz w:val="24"/>
        </w:rPr>
      </w:pPr>
      <w:r>
        <w:rPr>
          <w:rFonts w:hint="eastAsia" w:eastAsia="仿宋"/>
          <w:color w:val="000000"/>
          <w:kern w:val="0"/>
          <w:sz w:val="24"/>
          <w:lang w:val="en-US" w:eastAsia="zh-CN"/>
        </w:rPr>
        <w:t xml:space="preserve">3.1.1 </w:t>
      </w:r>
      <w:r>
        <w:rPr>
          <w:rFonts w:eastAsia="仿宋"/>
          <w:color w:val="000000"/>
          <w:kern w:val="0"/>
          <w:sz w:val="24"/>
        </w:rPr>
        <w:t>为保护临床研究受试者的权益和安全，规范本伦理委员会的组织和运作，根据《赫尔辛基宣言》（20</w:t>
      </w:r>
      <w:r>
        <w:rPr>
          <w:rFonts w:hint="eastAsia" w:eastAsia="仿宋"/>
          <w:color w:val="000000"/>
          <w:kern w:val="0"/>
          <w:sz w:val="24"/>
          <w:lang w:val="en-US" w:eastAsia="zh-CN"/>
        </w:rPr>
        <w:t>24</w:t>
      </w:r>
      <w:r>
        <w:rPr>
          <w:rFonts w:eastAsia="仿宋"/>
          <w:color w:val="000000"/>
          <w:kern w:val="0"/>
          <w:sz w:val="24"/>
        </w:rPr>
        <w:t>年），《药物临床试验质量管理规范》（2020年），《药物临床试验伦理审查工作指导原则》（2010年）</w:t>
      </w:r>
      <w:r>
        <w:rPr>
          <w:rFonts w:hint="eastAsia" w:eastAsia="仿宋"/>
          <w:color w:val="000000"/>
          <w:kern w:val="0"/>
          <w:sz w:val="24"/>
          <w:lang w:eastAsia="zh-CN"/>
        </w:rPr>
        <w:t>，</w:t>
      </w:r>
      <w:r>
        <w:rPr>
          <w:rFonts w:eastAsia="仿宋"/>
          <w:color w:val="000000"/>
          <w:kern w:val="0"/>
          <w:sz w:val="24"/>
        </w:rPr>
        <w:t>《涉及人的生物医学研究伦理查办法》（2016年），《涉及人的健康相关研究国际伦理准则》（2016年），《涉及人的生命科学和医学研究伦理审查办法》（2023年），制定</w:t>
      </w:r>
      <w:r>
        <w:rPr>
          <w:rFonts w:hint="eastAsia" w:eastAsia="仿宋"/>
          <w:color w:val="000000"/>
          <w:kern w:val="0"/>
          <w:sz w:val="24"/>
        </w:rPr>
        <w:t>福鼎</w:t>
      </w:r>
      <w:r>
        <w:rPr>
          <w:rFonts w:eastAsia="仿宋"/>
          <w:color w:val="000000"/>
          <w:kern w:val="0"/>
          <w:sz w:val="24"/>
        </w:rPr>
        <w:t>市医院的《伦理委员会章程》。</w:t>
      </w:r>
    </w:p>
    <w:p w14:paraId="4726C75C">
      <w:pPr>
        <w:spacing w:line="360" w:lineRule="auto"/>
        <w:outlineLvl w:val="0"/>
        <w:rPr>
          <w:rFonts w:eastAsia="仿宋"/>
          <w:color w:val="000000"/>
          <w:kern w:val="0"/>
          <w:sz w:val="24"/>
        </w:rPr>
      </w:pPr>
      <w:r>
        <w:rPr>
          <w:rFonts w:hint="eastAsia" w:eastAsia="仿宋"/>
          <w:color w:val="000000"/>
          <w:kern w:val="0"/>
          <w:sz w:val="24"/>
          <w:lang w:val="en-US" w:eastAsia="zh-CN"/>
        </w:rPr>
        <w:t xml:space="preserve">3.1.2 </w:t>
      </w:r>
      <w:r>
        <w:rPr>
          <w:rFonts w:eastAsia="仿宋"/>
          <w:color w:val="000000"/>
          <w:kern w:val="0"/>
          <w:sz w:val="24"/>
        </w:rPr>
        <w:t>伦理委员会的宗旨通过对临床研究项目的科学性、伦理合理性进行审查，确保受试者的尊严、权益和安全得到保护，促进生物医学研究达到科学和伦理的高标准，增强对临床试验科学、健康地发展，增强公众对临床试验的信任和支持。</w:t>
      </w:r>
    </w:p>
    <w:p w14:paraId="0A312420">
      <w:pPr>
        <w:autoSpaceDE w:val="0"/>
        <w:autoSpaceDN w:val="0"/>
        <w:spacing w:line="360" w:lineRule="auto"/>
        <w:rPr>
          <w:rFonts w:hint="eastAsia" w:ascii="Times New Roman" w:hAnsi="Times New Roman" w:eastAsia="仿宋" w:cs="Times New Roman"/>
          <w:color w:val="000000"/>
          <w:kern w:val="0"/>
          <w:sz w:val="24"/>
          <w:lang w:val="en-US" w:eastAsia="zh-CN"/>
        </w:rPr>
      </w:pPr>
      <w:r>
        <w:rPr>
          <w:rFonts w:hint="eastAsia" w:eastAsia="仿宋" w:cs="Times New Roman"/>
          <w:color w:val="000000"/>
          <w:kern w:val="0"/>
          <w:sz w:val="24"/>
          <w:lang w:val="en-US" w:eastAsia="zh-CN"/>
        </w:rPr>
        <w:t xml:space="preserve">3.2 </w:t>
      </w:r>
      <w:r>
        <w:rPr>
          <w:rFonts w:hint="eastAsia" w:ascii="Times New Roman" w:hAnsi="Times New Roman" w:eastAsia="仿宋" w:cs="Times New Roman"/>
          <w:color w:val="000000"/>
          <w:kern w:val="0"/>
          <w:sz w:val="24"/>
          <w:lang w:val="en-US" w:eastAsia="zh-CN"/>
        </w:rPr>
        <w:t>组织</w:t>
      </w:r>
    </w:p>
    <w:p w14:paraId="411EAF2E">
      <w:pPr>
        <w:spacing w:line="360" w:lineRule="auto"/>
        <w:outlineLvl w:val="0"/>
        <w:rPr>
          <w:rFonts w:eastAsia="仿宋"/>
          <w:color w:val="000000"/>
          <w:kern w:val="0"/>
          <w:sz w:val="24"/>
        </w:rPr>
      </w:pPr>
      <w:r>
        <w:rPr>
          <w:rFonts w:hint="eastAsia" w:eastAsia="仿宋"/>
          <w:color w:val="000000"/>
          <w:kern w:val="0"/>
          <w:sz w:val="24"/>
          <w:lang w:val="en-US" w:eastAsia="zh-CN"/>
        </w:rPr>
        <w:t xml:space="preserve">3.2.1 </w:t>
      </w:r>
      <w:r>
        <w:rPr>
          <w:rFonts w:eastAsia="仿宋"/>
          <w:color w:val="000000"/>
          <w:kern w:val="0"/>
          <w:sz w:val="24"/>
        </w:rPr>
        <w:t>伦理委员会名称：</w:t>
      </w:r>
      <w:r>
        <w:rPr>
          <w:rFonts w:hint="eastAsia" w:eastAsia="仿宋"/>
          <w:color w:val="000000"/>
          <w:kern w:val="0"/>
          <w:sz w:val="24"/>
        </w:rPr>
        <w:t>福鼎市</w:t>
      </w:r>
      <w:r>
        <w:rPr>
          <w:rFonts w:eastAsia="仿宋"/>
          <w:color w:val="000000"/>
          <w:kern w:val="0"/>
          <w:sz w:val="24"/>
        </w:rPr>
        <w:t>医院</w:t>
      </w:r>
      <w:r>
        <w:rPr>
          <w:rFonts w:hint="eastAsia" w:eastAsia="仿宋"/>
          <w:color w:val="000000"/>
          <w:kern w:val="0"/>
          <w:sz w:val="24"/>
          <w:lang w:val="en-US" w:eastAsia="zh-CN"/>
        </w:rPr>
        <w:t>临床试验</w:t>
      </w:r>
      <w:r>
        <w:rPr>
          <w:rFonts w:eastAsia="仿宋"/>
          <w:color w:val="000000"/>
          <w:kern w:val="0"/>
          <w:sz w:val="24"/>
        </w:rPr>
        <w:t>伦理委员会</w:t>
      </w:r>
    </w:p>
    <w:p w14:paraId="16F441B5">
      <w:pPr>
        <w:spacing w:line="360" w:lineRule="auto"/>
        <w:outlineLvl w:val="0"/>
        <w:rPr>
          <w:rFonts w:eastAsia="仿宋"/>
          <w:color w:val="000000" w:themeColor="text1"/>
          <w:kern w:val="0"/>
          <w:sz w:val="24"/>
          <w14:textFill>
            <w14:solidFill>
              <w14:schemeClr w14:val="tx1"/>
            </w14:solidFill>
          </w14:textFill>
        </w:rPr>
      </w:pPr>
      <w:r>
        <w:rPr>
          <w:rFonts w:hint="eastAsia" w:eastAsia="仿宋"/>
          <w:color w:val="000000"/>
          <w:kern w:val="0"/>
          <w:sz w:val="24"/>
          <w:highlight w:val="none"/>
          <w:lang w:val="en-US" w:eastAsia="zh-CN"/>
        </w:rPr>
        <w:t xml:space="preserve">3.2.2 </w:t>
      </w:r>
      <w:r>
        <w:rPr>
          <w:rFonts w:eastAsia="仿宋"/>
          <w:color w:val="000000"/>
          <w:kern w:val="0"/>
          <w:sz w:val="24"/>
          <w:highlight w:val="none"/>
        </w:rPr>
        <w:t>伦理委员会地址：</w:t>
      </w:r>
      <w:r>
        <w:rPr>
          <w:rFonts w:hint="eastAsia" w:eastAsia="仿宋"/>
          <w:color w:val="000000"/>
          <w:kern w:val="0"/>
          <w:sz w:val="24"/>
          <w:highlight w:val="none"/>
          <w:lang w:val="en-US" w:eastAsia="zh-CN"/>
        </w:rPr>
        <w:t>福鼎市医院</w:t>
      </w:r>
      <w:r>
        <w:rPr>
          <w:rFonts w:hint="eastAsia" w:ascii="Times New Roman" w:hAnsi="Times New Roman" w:eastAsia="仿宋" w:cs="Times New Roman"/>
          <w:i w:val="0"/>
          <w:iCs w:val="0"/>
          <w:caps w:val="0"/>
          <w:color w:val="000000" w:themeColor="text1"/>
          <w:spacing w:val="0"/>
          <w:kern w:val="0"/>
          <w:sz w:val="24"/>
          <w:szCs w:val="24"/>
          <w:shd w:val="clear"/>
          <w14:textFill>
            <w14:solidFill>
              <w14:schemeClr w14:val="tx1"/>
            </w14:solidFill>
          </w14:textFill>
        </w:rPr>
        <w:t>百胜院区住院部C栋</w:t>
      </w:r>
      <w:r>
        <w:rPr>
          <w:rFonts w:hint="eastAsia" w:eastAsia="仿宋" w:cs="Times New Roman"/>
          <w:i w:val="0"/>
          <w:iCs w:val="0"/>
          <w:caps w:val="0"/>
          <w:color w:val="000000" w:themeColor="text1"/>
          <w:spacing w:val="0"/>
          <w:kern w:val="0"/>
          <w:sz w:val="24"/>
          <w:szCs w:val="24"/>
          <w:shd w:val="clear"/>
          <w:lang w:val="en-US" w:eastAsia="zh-CN"/>
          <w14:textFill>
            <w14:solidFill>
              <w14:schemeClr w14:val="tx1"/>
            </w14:solidFill>
          </w14:textFill>
        </w:rPr>
        <w:t>五</w:t>
      </w:r>
      <w:r>
        <w:rPr>
          <w:rFonts w:hint="eastAsia" w:ascii="Times New Roman" w:hAnsi="Times New Roman" w:eastAsia="仿宋" w:cs="Times New Roman"/>
          <w:i w:val="0"/>
          <w:iCs w:val="0"/>
          <w:caps w:val="0"/>
          <w:color w:val="000000" w:themeColor="text1"/>
          <w:spacing w:val="0"/>
          <w:kern w:val="0"/>
          <w:sz w:val="24"/>
          <w:szCs w:val="24"/>
          <w:shd w:val="clear"/>
          <w14:textFill>
            <w14:solidFill>
              <w14:schemeClr w14:val="tx1"/>
            </w14:solidFill>
          </w14:textFill>
        </w:rPr>
        <w:t>楼临床试验伦理办公室</w:t>
      </w:r>
    </w:p>
    <w:p w14:paraId="370C5496">
      <w:pPr>
        <w:spacing w:line="360" w:lineRule="auto"/>
        <w:outlineLvl w:val="0"/>
        <w:rPr>
          <w:rFonts w:eastAsia="仿宋"/>
          <w:color w:val="000000"/>
          <w:kern w:val="0"/>
          <w:sz w:val="24"/>
        </w:rPr>
      </w:pPr>
      <w:r>
        <w:rPr>
          <w:rFonts w:hint="eastAsia" w:eastAsia="仿宋"/>
          <w:color w:val="000000"/>
          <w:kern w:val="0"/>
          <w:sz w:val="24"/>
          <w:lang w:val="en-US" w:eastAsia="zh-CN"/>
        </w:rPr>
        <w:t xml:space="preserve">3.2.3 </w:t>
      </w:r>
      <w:r>
        <w:rPr>
          <w:rFonts w:eastAsia="仿宋"/>
          <w:color w:val="000000"/>
          <w:kern w:val="0"/>
          <w:sz w:val="24"/>
        </w:rPr>
        <w:t>本伦理委员会隶属于</w:t>
      </w:r>
      <w:r>
        <w:rPr>
          <w:rFonts w:hint="eastAsia" w:eastAsia="仿宋"/>
          <w:color w:val="000000"/>
          <w:kern w:val="0"/>
          <w:sz w:val="24"/>
        </w:rPr>
        <w:t>福鼎</w:t>
      </w:r>
      <w:r>
        <w:rPr>
          <w:rFonts w:eastAsia="仿宋"/>
          <w:color w:val="000000"/>
          <w:kern w:val="0"/>
          <w:sz w:val="24"/>
        </w:rPr>
        <w:t>市医院。医院根据伦理审查的范围，确定伦理委员会的组织架构；</w:t>
      </w:r>
      <w:r>
        <w:rPr>
          <w:rFonts w:eastAsia="仿宋"/>
          <w:color w:val="000000"/>
          <w:kern w:val="0"/>
          <w:sz w:val="24"/>
          <w:highlight w:val="none"/>
        </w:rPr>
        <w:t>医院设置伦理委员会办公室。</w:t>
      </w:r>
    </w:p>
    <w:p w14:paraId="42C2F56D">
      <w:pPr>
        <w:spacing w:line="360" w:lineRule="auto"/>
        <w:outlineLvl w:val="0"/>
        <w:rPr>
          <w:rFonts w:eastAsia="仿宋"/>
          <w:color w:val="000000"/>
          <w:kern w:val="0"/>
          <w:sz w:val="24"/>
        </w:rPr>
      </w:pPr>
      <w:r>
        <w:rPr>
          <w:rFonts w:hint="eastAsia" w:eastAsia="仿宋"/>
          <w:color w:val="000000"/>
          <w:kern w:val="0"/>
          <w:sz w:val="24"/>
          <w:lang w:val="en-US" w:eastAsia="zh-CN"/>
        </w:rPr>
        <w:t xml:space="preserve">3.2.4 </w:t>
      </w:r>
      <w:r>
        <w:rPr>
          <w:rFonts w:eastAsia="仿宋"/>
          <w:color w:val="000000"/>
          <w:kern w:val="0"/>
          <w:sz w:val="24"/>
        </w:rPr>
        <w:t>伦理委员会</w:t>
      </w:r>
      <w:r>
        <w:rPr>
          <w:rFonts w:hint="eastAsia" w:eastAsia="仿宋"/>
          <w:color w:val="000000"/>
          <w:kern w:val="0"/>
          <w:sz w:val="24"/>
        </w:rPr>
        <w:t>对在本机构内实施的临床试验进行审查</w:t>
      </w:r>
      <w:r>
        <w:rPr>
          <w:rFonts w:hint="eastAsia" w:eastAsia="仿宋"/>
          <w:color w:val="000000"/>
          <w:kern w:val="0"/>
          <w:sz w:val="24"/>
          <w:lang w:eastAsia="zh-CN"/>
        </w:rPr>
        <w:t>，</w:t>
      </w:r>
      <w:r>
        <w:rPr>
          <w:rFonts w:hint="eastAsia" w:eastAsia="仿宋"/>
          <w:color w:val="000000"/>
          <w:kern w:val="0"/>
          <w:sz w:val="24"/>
          <w:highlight w:val="none"/>
        </w:rPr>
        <w:t>范围包括药物临床试验项目</w:t>
      </w:r>
      <w:r>
        <w:rPr>
          <w:rFonts w:eastAsia="仿宋"/>
          <w:color w:val="000000"/>
          <w:kern w:val="0"/>
          <w:sz w:val="24"/>
          <w:highlight w:val="none"/>
        </w:rPr>
        <w:t>。</w:t>
      </w:r>
      <w:r>
        <w:rPr>
          <w:rFonts w:eastAsia="仿宋"/>
          <w:color w:val="000000"/>
          <w:kern w:val="0"/>
          <w:sz w:val="24"/>
        </w:rPr>
        <w:t>伦理审查类别包括初始审查、跟踪审查和复审。伦理委员会办公室负责伦理委员会日常行政事务的管理工作。</w:t>
      </w:r>
    </w:p>
    <w:p w14:paraId="4D281417">
      <w:pPr>
        <w:spacing w:line="360" w:lineRule="auto"/>
        <w:outlineLvl w:val="0"/>
        <w:rPr>
          <w:rFonts w:eastAsia="仿宋"/>
          <w:color w:val="000000"/>
          <w:kern w:val="0"/>
          <w:sz w:val="24"/>
        </w:rPr>
      </w:pPr>
      <w:r>
        <w:rPr>
          <w:rFonts w:hint="eastAsia" w:eastAsia="仿宋"/>
          <w:color w:val="000000"/>
          <w:kern w:val="0"/>
          <w:sz w:val="24"/>
          <w:lang w:val="en-US" w:eastAsia="zh-CN"/>
        </w:rPr>
        <w:t xml:space="preserve">3.2.5 </w:t>
      </w:r>
      <w:r>
        <w:rPr>
          <w:rFonts w:eastAsia="仿宋"/>
          <w:color w:val="000000"/>
          <w:kern w:val="0"/>
          <w:sz w:val="24"/>
        </w:rPr>
        <w:t>伦理委员会的运行必须独立于申办者、研究者，并避免任何不适当影响。伦理委员会有权批准/不批准一项临床研究，对批准的临床研究进行跟踪审查，终止或暂停已经批准的临床研究。</w:t>
      </w:r>
    </w:p>
    <w:p w14:paraId="1B4D44C0">
      <w:pPr>
        <w:spacing w:line="360" w:lineRule="auto"/>
        <w:outlineLvl w:val="0"/>
        <w:rPr>
          <w:rFonts w:eastAsia="仿宋"/>
          <w:color w:val="000000"/>
          <w:kern w:val="0"/>
          <w:sz w:val="24"/>
        </w:rPr>
      </w:pPr>
      <w:r>
        <w:rPr>
          <w:rFonts w:hint="eastAsia" w:eastAsia="仿宋"/>
          <w:color w:val="000000"/>
          <w:kern w:val="0"/>
          <w:sz w:val="24"/>
          <w:lang w:val="en-US" w:eastAsia="zh-CN"/>
        </w:rPr>
        <w:t xml:space="preserve">3.2.6 </w:t>
      </w:r>
      <w:r>
        <w:rPr>
          <w:rFonts w:eastAsia="仿宋"/>
          <w:color w:val="000000"/>
          <w:kern w:val="0"/>
          <w:sz w:val="24"/>
        </w:rPr>
        <w:t>医院为伦理委员会提供独立办公室，必要的办公条件，有可利用的档案室和会议室，以满足其职能的需求。</w:t>
      </w:r>
      <w:r>
        <w:rPr>
          <w:rFonts w:hint="eastAsia" w:eastAsia="仿宋"/>
          <w:color w:val="000000"/>
          <w:kern w:val="0"/>
          <w:sz w:val="24"/>
          <w:lang w:val="en-US" w:eastAsia="zh-CN"/>
        </w:rPr>
        <w:t>同时，</w:t>
      </w:r>
      <w:r>
        <w:rPr>
          <w:rFonts w:eastAsia="仿宋"/>
          <w:color w:val="000000"/>
          <w:kern w:val="0"/>
          <w:sz w:val="24"/>
        </w:rPr>
        <w:t>医院任命足够数量的伦理委员会秘书与工作人员，以满足伦理委员会高质量工作的需求。医院为委员、独立顾问、秘书与工作人员提供充足的培训，使其能够胜任工作。</w:t>
      </w:r>
    </w:p>
    <w:p w14:paraId="0C2FFB12">
      <w:pPr>
        <w:spacing w:line="360" w:lineRule="auto"/>
        <w:outlineLvl w:val="0"/>
        <w:rPr>
          <w:rFonts w:eastAsia="仿宋"/>
          <w:color w:val="000000"/>
          <w:kern w:val="0"/>
          <w:sz w:val="24"/>
        </w:rPr>
      </w:pPr>
      <w:r>
        <w:rPr>
          <w:rFonts w:hint="eastAsia" w:eastAsia="仿宋"/>
          <w:color w:val="000000"/>
          <w:kern w:val="0"/>
          <w:sz w:val="24"/>
          <w:lang w:val="en-US" w:eastAsia="zh-CN"/>
        </w:rPr>
        <w:t xml:space="preserve">3.2.7 </w:t>
      </w:r>
      <w:r>
        <w:rPr>
          <w:rFonts w:eastAsia="仿宋"/>
          <w:color w:val="000000"/>
          <w:kern w:val="0"/>
          <w:sz w:val="24"/>
        </w:rPr>
        <w:t>伦理委员会的行政经费列入医院财政预算。经费使用按照医院财务管理规定执行，可应要求公开委员的劳务补偿。</w:t>
      </w:r>
    </w:p>
    <w:p w14:paraId="0C698155">
      <w:pPr>
        <w:autoSpaceDE w:val="0"/>
        <w:autoSpaceDN w:val="0"/>
        <w:spacing w:line="360" w:lineRule="auto"/>
        <w:rPr>
          <w:rFonts w:hint="eastAsia" w:eastAsia="仿宋" w:cs="Times New Roman"/>
          <w:color w:val="000000"/>
          <w:kern w:val="0"/>
          <w:sz w:val="24"/>
          <w:lang w:val="en-US" w:eastAsia="zh-CN"/>
        </w:rPr>
      </w:pPr>
      <w:r>
        <w:rPr>
          <w:rFonts w:hint="eastAsia" w:eastAsia="仿宋" w:cs="Times New Roman"/>
          <w:color w:val="000000"/>
          <w:kern w:val="0"/>
          <w:sz w:val="24"/>
          <w:lang w:val="en-US" w:eastAsia="zh-CN"/>
        </w:rPr>
        <w:t>3.3 组建、换届与责任</w:t>
      </w:r>
    </w:p>
    <w:p w14:paraId="0C556CCF">
      <w:pPr>
        <w:spacing w:line="360" w:lineRule="auto"/>
        <w:outlineLvl w:val="0"/>
        <w:rPr>
          <w:rFonts w:eastAsia="仿宋"/>
          <w:color w:val="000000"/>
          <w:kern w:val="0"/>
          <w:sz w:val="24"/>
        </w:rPr>
      </w:pPr>
      <w:r>
        <w:rPr>
          <w:rFonts w:hint="eastAsia" w:eastAsia="仿宋"/>
          <w:color w:val="000000"/>
          <w:kern w:val="0"/>
          <w:sz w:val="24"/>
          <w:lang w:val="en-US" w:eastAsia="zh-CN"/>
        </w:rPr>
        <w:t xml:space="preserve">3.3.1 </w:t>
      </w:r>
      <w:r>
        <w:rPr>
          <w:rFonts w:eastAsia="仿宋"/>
          <w:color w:val="000000"/>
          <w:kern w:val="0"/>
          <w:sz w:val="24"/>
        </w:rPr>
        <w:t>伦理委员会委员的组成和数量应与所审查项目的专业类别和数量相符。伦理委员会的委员组成包含医药专业、非医药专业、法律专家、与研究项目的组织者和研究机构不存在行政隶属关系的外单位的人员。</w:t>
      </w:r>
      <w:r>
        <w:rPr>
          <w:rFonts w:hint="default" w:eastAsia="仿宋"/>
          <w:color w:val="000000"/>
          <w:kern w:val="0"/>
          <w:sz w:val="24"/>
          <w:lang w:val="en-US" w:eastAsia="zh-CN"/>
        </w:rPr>
        <w:t>委员应</w:t>
      </w:r>
      <w:r>
        <w:rPr>
          <w:rFonts w:eastAsia="仿宋"/>
          <w:color w:val="000000"/>
          <w:kern w:val="0"/>
          <w:sz w:val="24"/>
        </w:rPr>
        <w:t>从生物医学领域和伦理学、法学、社会学等领域的专家和非本机构的社会人士中遴选产生，人数不得少于7人，并有不同性别的委员。</w:t>
      </w:r>
    </w:p>
    <w:p w14:paraId="38093D4E">
      <w:pPr>
        <w:spacing w:line="360" w:lineRule="auto"/>
        <w:outlineLvl w:val="0"/>
        <w:rPr>
          <w:rFonts w:eastAsia="仿宋"/>
          <w:color w:val="000000"/>
          <w:kern w:val="0"/>
          <w:sz w:val="24"/>
        </w:rPr>
      </w:pPr>
      <w:r>
        <w:rPr>
          <w:rFonts w:hint="eastAsia" w:eastAsia="仿宋"/>
          <w:color w:val="000000"/>
          <w:kern w:val="0"/>
          <w:sz w:val="24"/>
          <w:lang w:val="en-US" w:eastAsia="zh-CN"/>
        </w:rPr>
        <w:t xml:space="preserve">3.3.2 </w:t>
      </w:r>
      <w:r>
        <w:rPr>
          <w:rFonts w:eastAsia="仿宋"/>
          <w:color w:val="000000"/>
          <w:kern w:val="0"/>
          <w:sz w:val="24"/>
        </w:rPr>
        <w:t>伦理委员会委员采用公开招募的方式，结合有关各方的推荐并征询本人意见，形成委员候选人名单。应征者应能保证参加培训，保证有足够的时间和精力参加审查工作。</w:t>
      </w:r>
    </w:p>
    <w:p w14:paraId="63B3CAF4">
      <w:pPr>
        <w:spacing w:line="360" w:lineRule="auto"/>
        <w:outlineLvl w:val="0"/>
        <w:rPr>
          <w:rFonts w:eastAsia="仿宋"/>
          <w:color w:val="000000"/>
          <w:kern w:val="0"/>
          <w:sz w:val="24"/>
        </w:rPr>
      </w:pPr>
      <w:r>
        <w:rPr>
          <w:rFonts w:hint="eastAsia" w:eastAsia="仿宋"/>
          <w:color w:val="000000"/>
          <w:kern w:val="0"/>
          <w:sz w:val="24"/>
          <w:lang w:val="en-US" w:eastAsia="zh-CN"/>
        </w:rPr>
        <w:t xml:space="preserve">3.3.3 </w:t>
      </w:r>
      <w:r>
        <w:rPr>
          <w:rFonts w:eastAsia="仿宋"/>
          <w:color w:val="000000"/>
          <w:kern w:val="0"/>
          <w:sz w:val="24"/>
        </w:rPr>
        <w:t>伦理委员会委员应参加GCP、研究伦理审查以及临床研究方法学方面的初始培训和继续教育；提交本人的简历、资质证明文件，GCP与伦理审查培训证书；同意并签署</w:t>
      </w:r>
      <w:r>
        <w:rPr>
          <w:rFonts w:hint="eastAsia" w:eastAsia="仿宋"/>
          <w:color w:val="000000"/>
          <w:kern w:val="0"/>
          <w:sz w:val="24"/>
        </w:rPr>
        <w:t>履职承诺书</w:t>
      </w:r>
      <w:r>
        <w:rPr>
          <w:rFonts w:eastAsia="仿宋"/>
          <w:color w:val="000000"/>
          <w:kern w:val="0"/>
          <w:sz w:val="24"/>
        </w:rPr>
        <w:t>，同意公开自己的姓名、职业和隶属机构，同意公开与参加伦理审查工作相关的交通、劳务和补偿。</w:t>
      </w:r>
    </w:p>
    <w:p w14:paraId="05C0ABE0">
      <w:pPr>
        <w:spacing w:line="360" w:lineRule="auto"/>
        <w:outlineLvl w:val="0"/>
        <w:rPr>
          <w:rFonts w:eastAsia="仿宋"/>
          <w:color w:val="000000"/>
          <w:kern w:val="0"/>
          <w:sz w:val="24"/>
        </w:rPr>
      </w:pPr>
      <w:r>
        <w:rPr>
          <w:rFonts w:hint="eastAsia" w:eastAsia="仿宋"/>
          <w:color w:val="000000"/>
          <w:kern w:val="0"/>
          <w:sz w:val="24"/>
          <w:highlight w:val="none"/>
          <w:lang w:val="en-US" w:eastAsia="zh-CN"/>
        </w:rPr>
        <w:t xml:space="preserve">3.3.4 </w:t>
      </w:r>
      <w:r>
        <w:rPr>
          <w:rFonts w:eastAsia="仿宋"/>
          <w:color w:val="000000"/>
          <w:kern w:val="0"/>
          <w:sz w:val="24"/>
          <w:highlight w:val="none"/>
        </w:rPr>
        <w:t>伦理委员会设主任委员1名、副主任委员1名</w:t>
      </w:r>
      <w:r>
        <w:rPr>
          <w:rFonts w:eastAsia="仿宋"/>
          <w:color w:val="000000"/>
          <w:kern w:val="0"/>
          <w:sz w:val="24"/>
        </w:rPr>
        <w:t>。伦理委员会主任负责主持审查会议，审签会议记录</w:t>
      </w:r>
      <w:r>
        <w:rPr>
          <w:rFonts w:hint="eastAsia" w:eastAsia="仿宋"/>
          <w:color w:val="000000"/>
          <w:kern w:val="0"/>
          <w:sz w:val="24"/>
          <w:lang w:eastAsia="zh-CN"/>
        </w:rPr>
        <w:t>、</w:t>
      </w:r>
      <w:r>
        <w:rPr>
          <w:rFonts w:eastAsia="仿宋"/>
          <w:color w:val="000000"/>
          <w:kern w:val="0"/>
          <w:sz w:val="24"/>
        </w:rPr>
        <w:t>决定文件，体系文件的批准和各项行政事务的审批。主任委员因故不能履行职责时，副主任委员</w:t>
      </w:r>
      <w:r>
        <w:rPr>
          <w:rFonts w:hint="eastAsia" w:eastAsia="仿宋"/>
          <w:color w:val="000000"/>
          <w:kern w:val="0"/>
          <w:sz w:val="24"/>
        </w:rPr>
        <w:t>代行主任委员职责</w:t>
      </w:r>
      <w:r>
        <w:rPr>
          <w:rFonts w:eastAsia="仿宋"/>
          <w:color w:val="000000"/>
          <w:kern w:val="0"/>
          <w:sz w:val="24"/>
        </w:rPr>
        <w:t>。伦理委员会委员每届任期五年，可以连任。</w:t>
      </w:r>
    </w:p>
    <w:p w14:paraId="0696D949">
      <w:pPr>
        <w:spacing w:line="360" w:lineRule="auto"/>
        <w:outlineLvl w:val="0"/>
        <w:rPr>
          <w:rFonts w:eastAsia="仿宋"/>
          <w:color w:val="000000"/>
          <w:kern w:val="0"/>
          <w:sz w:val="24"/>
        </w:rPr>
      </w:pPr>
      <w:r>
        <w:rPr>
          <w:rFonts w:hint="eastAsia" w:eastAsia="仿宋"/>
          <w:color w:val="000000"/>
          <w:kern w:val="0"/>
          <w:sz w:val="24"/>
          <w:lang w:val="en-US" w:eastAsia="zh-CN"/>
        </w:rPr>
        <w:t xml:space="preserve">3.3.5 </w:t>
      </w:r>
      <w:r>
        <w:rPr>
          <w:rFonts w:eastAsia="仿宋"/>
          <w:color w:val="000000"/>
          <w:kern w:val="0"/>
          <w:sz w:val="24"/>
        </w:rPr>
        <w:t>伦理委员的换届应考虑委员审查能力的发展，以及委员的专业类别。医药专业背景委员换届时，应有相同专业背景委员的更替或新委员的增加；同时应有部分委员留任，以保证伦理委员会工作的连续性。非医药专业的委员换届，应做好新委员的培训。</w:t>
      </w:r>
      <w:r>
        <w:rPr>
          <w:rFonts w:hint="eastAsia" w:eastAsia="仿宋"/>
          <w:color w:val="000000"/>
          <w:kern w:val="0"/>
          <w:sz w:val="24"/>
        </w:rPr>
        <w:t>此外，应妥善保存委员换届的相关记录，以备查询和审核。</w:t>
      </w:r>
    </w:p>
    <w:p w14:paraId="16CDBF7C">
      <w:pPr>
        <w:spacing w:line="360" w:lineRule="auto"/>
        <w:outlineLvl w:val="0"/>
        <w:rPr>
          <w:rFonts w:eastAsia="仿宋"/>
          <w:color w:val="000000"/>
          <w:kern w:val="0"/>
          <w:sz w:val="24"/>
        </w:rPr>
      </w:pPr>
      <w:r>
        <w:rPr>
          <w:rFonts w:hint="eastAsia" w:eastAsia="仿宋"/>
          <w:color w:val="000000"/>
          <w:kern w:val="0"/>
          <w:sz w:val="24"/>
          <w:lang w:val="en-US" w:eastAsia="zh-CN"/>
        </w:rPr>
        <w:t xml:space="preserve">3.3.6 </w:t>
      </w:r>
      <w:r>
        <w:rPr>
          <w:rFonts w:eastAsia="仿宋"/>
          <w:color w:val="000000"/>
          <w:kern w:val="0"/>
          <w:sz w:val="24"/>
        </w:rPr>
        <w:t>以下情况可以免去委员资格：本人书面申请辞去委员职务者；因各种原因缺席半数以上伦理审查会议者；因健康或工作调离等原因，不能继续履行委员职责者；因道德行为规范与委员职责相违背（如与审查项目存在利益冲突而不主动声明），不适宜继续担任委员者。</w:t>
      </w:r>
    </w:p>
    <w:p w14:paraId="0E75EEB1">
      <w:pPr>
        <w:spacing w:line="360" w:lineRule="auto"/>
        <w:outlineLvl w:val="0"/>
        <w:rPr>
          <w:rFonts w:eastAsia="仿宋"/>
          <w:color w:val="000000"/>
          <w:kern w:val="0"/>
          <w:sz w:val="24"/>
        </w:rPr>
      </w:pPr>
      <w:r>
        <w:rPr>
          <w:rFonts w:hint="eastAsia" w:eastAsia="仿宋"/>
          <w:color w:val="000000"/>
          <w:kern w:val="0"/>
          <w:sz w:val="24"/>
          <w:lang w:val="en-US" w:eastAsia="zh-CN"/>
        </w:rPr>
        <w:t xml:space="preserve">3.3.7 </w:t>
      </w:r>
      <w:r>
        <w:rPr>
          <w:rFonts w:eastAsia="仿宋"/>
          <w:color w:val="000000"/>
          <w:kern w:val="0"/>
          <w:sz w:val="24"/>
        </w:rPr>
        <w:t>委员辞职或免职，可以启动委员替换程序。根据资质、专业相当的原则招募/推荐候选替补委员；替补委员由院办讨论决定。</w:t>
      </w:r>
    </w:p>
    <w:p w14:paraId="18A08A0D">
      <w:pPr>
        <w:spacing w:line="360" w:lineRule="auto"/>
        <w:outlineLvl w:val="0"/>
        <w:rPr>
          <w:rFonts w:eastAsia="仿宋"/>
          <w:color w:val="000000"/>
          <w:kern w:val="0"/>
          <w:sz w:val="24"/>
        </w:rPr>
      </w:pPr>
      <w:r>
        <w:rPr>
          <w:rFonts w:hint="eastAsia" w:eastAsia="仿宋"/>
          <w:color w:val="000000"/>
          <w:kern w:val="0"/>
          <w:sz w:val="24"/>
          <w:lang w:val="en-US" w:eastAsia="zh-CN"/>
        </w:rPr>
        <w:t xml:space="preserve">3.3.8 </w:t>
      </w:r>
      <w:r>
        <w:rPr>
          <w:rFonts w:eastAsia="仿宋"/>
          <w:color w:val="000000"/>
          <w:kern w:val="0"/>
          <w:sz w:val="24"/>
        </w:rPr>
        <w:t>如果伦理委员专业知识不能胜任某临床研究项目的审查，或某临床研究项目的受试者与委员的社会文化背景明显不同时，可以按需要聘请独立顾问。独立顾问应提交本人简历、资质证明性文件，签署独立顾问声明、保密承诺书和利益冲突声明，同意应要求公开自己的姓名、职业、隶属关系、工作报酬及其他有关开支。独立顾问应邀对临床研究项目的某方面问题提供咨询意见，但不具有表决权。</w:t>
      </w:r>
    </w:p>
    <w:p w14:paraId="5B4670F4">
      <w:pPr>
        <w:spacing w:line="360" w:lineRule="auto"/>
        <w:outlineLvl w:val="0"/>
        <w:rPr>
          <w:rFonts w:eastAsia="仿宋"/>
          <w:color w:val="000000"/>
          <w:kern w:val="0"/>
          <w:sz w:val="24"/>
        </w:rPr>
      </w:pPr>
      <w:r>
        <w:rPr>
          <w:rFonts w:hint="eastAsia" w:eastAsia="仿宋"/>
          <w:color w:val="000000"/>
          <w:kern w:val="0"/>
          <w:sz w:val="24"/>
          <w:lang w:val="en-US" w:eastAsia="zh-CN"/>
        </w:rPr>
        <w:t xml:space="preserve">3.3.9 </w:t>
      </w:r>
      <w:r>
        <w:rPr>
          <w:rFonts w:eastAsia="仿宋"/>
          <w:color w:val="000000"/>
          <w:kern w:val="0"/>
          <w:sz w:val="24"/>
        </w:rPr>
        <w:t>伦理委员会设秘书或办公室工作人员若干名。伦理秘书负责伦理委员会和办公室的行政事务工作，负责接收、初审项目的申请材料，并负责会议日程安排、会议结果、决议、通知、档案管理等日常工作，并报告伦理委员会主任委员。</w:t>
      </w:r>
    </w:p>
    <w:p w14:paraId="2820D573">
      <w:pPr>
        <w:autoSpaceDE w:val="0"/>
        <w:autoSpaceDN w:val="0"/>
        <w:spacing w:line="360" w:lineRule="auto"/>
        <w:rPr>
          <w:rFonts w:hint="eastAsia" w:eastAsia="仿宋" w:cs="Times New Roman"/>
          <w:color w:val="000000"/>
          <w:kern w:val="0"/>
          <w:sz w:val="24"/>
          <w:lang w:val="en-US" w:eastAsia="zh-CN"/>
        </w:rPr>
      </w:pPr>
      <w:r>
        <w:rPr>
          <w:rFonts w:hint="eastAsia" w:eastAsia="仿宋" w:cs="Times New Roman"/>
          <w:color w:val="000000"/>
          <w:kern w:val="0"/>
          <w:sz w:val="24"/>
          <w:lang w:val="en-US" w:eastAsia="zh-CN"/>
        </w:rPr>
        <w:t>3.4 工作程序</w:t>
      </w:r>
    </w:p>
    <w:p w14:paraId="6E569FE5">
      <w:pPr>
        <w:spacing w:line="360" w:lineRule="auto"/>
        <w:outlineLvl w:val="0"/>
        <w:rPr>
          <w:rFonts w:eastAsia="仿宋"/>
          <w:color w:val="000000"/>
          <w:kern w:val="0"/>
          <w:sz w:val="24"/>
        </w:rPr>
      </w:pPr>
      <w:r>
        <w:rPr>
          <w:rFonts w:hint="eastAsia" w:eastAsia="仿宋"/>
          <w:color w:val="000000"/>
          <w:kern w:val="0"/>
          <w:sz w:val="24"/>
          <w:lang w:val="en-US" w:eastAsia="zh-CN"/>
        </w:rPr>
        <w:t xml:space="preserve">3.4.1 </w:t>
      </w:r>
      <w:r>
        <w:rPr>
          <w:rFonts w:eastAsia="仿宋"/>
          <w:color w:val="000000"/>
          <w:kern w:val="0"/>
          <w:sz w:val="24"/>
        </w:rPr>
        <w:t>伦理委员会的审查方式有会议审查、紧急会议审查、</w:t>
      </w:r>
      <w:r>
        <w:rPr>
          <w:rFonts w:hint="eastAsia" w:eastAsia="仿宋"/>
          <w:color w:val="000000"/>
          <w:kern w:val="0"/>
          <w:sz w:val="24"/>
          <w:lang w:eastAsia="zh-CN"/>
        </w:rPr>
        <w:t>简易审查</w:t>
      </w:r>
      <w:r>
        <w:rPr>
          <w:rFonts w:eastAsia="仿宋"/>
          <w:color w:val="000000"/>
          <w:kern w:val="0"/>
          <w:sz w:val="24"/>
        </w:rPr>
        <w:t>。实行主审制，为每个审查项目安排</w:t>
      </w:r>
      <w:r>
        <w:rPr>
          <w:rFonts w:hint="eastAsia" w:eastAsia="仿宋"/>
          <w:color w:val="000000"/>
          <w:kern w:val="0"/>
          <w:sz w:val="24"/>
          <w:lang w:val="en-US" w:eastAsia="zh-CN"/>
        </w:rPr>
        <w:t>2名</w:t>
      </w:r>
      <w:r>
        <w:rPr>
          <w:rFonts w:eastAsia="仿宋"/>
          <w:color w:val="000000"/>
          <w:kern w:val="0"/>
          <w:sz w:val="24"/>
        </w:rPr>
        <w:t>主审委员，填写审查工作表。会议审查是伦理委员会主要的审查工作方式，每月定期召开审查会议。委员在会前预审送审项目。研究过程中出现重大或严重问题，危及受试者安全，应召开紧急会议审查。</w:t>
      </w:r>
      <w:r>
        <w:rPr>
          <w:rFonts w:hint="eastAsia" w:eastAsia="仿宋"/>
          <w:color w:val="000000"/>
          <w:kern w:val="0"/>
          <w:sz w:val="24"/>
          <w:lang w:eastAsia="zh-CN"/>
        </w:rPr>
        <w:t>简易审查</w:t>
      </w:r>
      <w:r>
        <w:rPr>
          <w:rFonts w:eastAsia="仿宋"/>
          <w:color w:val="000000"/>
          <w:kern w:val="0"/>
          <w:sz w:val="24"/>
        </w:rPr>
        <w:t>是会议审查的补充形式，目的是为了提高工作效率，主要适用于不大于最小风险的研究项目、临床研究方案和知情同意书等的较小修正、不影响研究风险受益比、尚未纳入受试者或已完成干预措施的研究项目、预期严重不良事件审查。</w:t>
      </w:r>
    </w:p>
    <w:p w14:paraId="2A54F2B7">
      <w:pPr>
        <w:spacing w:line="360" w:lineRule="auto"/>
        <w:outlineLvl w:val="0"/>
        <w:rPr>
          <w:rFonts w:eastAsia="仿宋"/>
          <w:color w:val="000000"/>
          <w:kern w:val="0"/>
          <w:sz w:val="24"/>
        </w:rPr>
      </w:pPr>
      <w:r>
        <w:rPr>
          <w:rFonts w:hint="eastAsia" w:eastAsia="仿宋"/>
          <w:color w:val="000000"/>
          <w:kern w:val="0"/>
          <w:sz w:val="24"/>
          <w:lang w:val="en-US" w:eastAsia="zh-CN"/>
        </w:rPr>
        <w:t xml:space="preserve">3.4.2 </w:t>
      </w:r>
      <w:r>
        <w:rPr>
          <w:rFonts w:eastAsia="仿宋"/>
          <w:color w:val="000000"/>
          <w:kern w:val="0"/>
          <w:sz w:val="24"/>
        </w:rPr>
        <w:t>伦理委员会审查会议的到会法定人数必须超过半数成员，并不少于7人；到会委员包括医药专业、非医药专业、法律专业，独立于研究和试验单位之外的人员、不同性别的人员。</w:t>
      </w:r>
    </w:p>
    <w:p w14:paraId="54C47139">
      <w:pPr>
        <w:spacing w:line="360" w:lineRule="auto"/>
        <w:outlineLvl w:val="0"/>
        <w:rPr>
          <w:rFonts w:eastAsia="仿宋"/>
          <w:color w:val="000000"/>
          <w:kern w:val="0"/>
          <w:sz w:val="24"/>
        </w:rPr>
      </w:pPr>
      <w:r>
        <w:rPr>
          <w:rFonts w:hint="eastAsia" w:eastAsia="仿宋"/>
          <w:color w:val="000000"/>
          <w:kern w:val="0"/>
          <w:sz w:val="24"/>
          <w:lang w:val="en-US" w:eastAsia="zh-CN"/>
        </w:rPr>
        <w:t xml:space="preserve">3.4.3 </w:t>
      </w:r>
      <w:r>
        <w:rPr>
          <w:rFonts w:eastAsia="仿宋"/>
          <w:color w:val="000000"/>
          <w:kern w:val="0"/>
          <w:sz w:val="24"/>
        </w:rPr>
        <w:t>伦理委员会审查决定时，申请人、独立顾问及与研究项目存在利益冲突的委员应当回避，按审查要素和审查要点进行充分的审查讨论后，以投票的方式做出决定，没有参与会议讨论的委员不能投票，伦理委员会做出决定应当得到伦理委员会全体委员的二分之一以上的票数。会后及时（不超过5个工作日）传达审查决定或意见。所有会议及决议均应有书面记录，药物临床试验记录保存至药品上市后至少5年，其他研究类型临床试验，保存至研究结束后至少10年。</w:t>
      </w:r>
    </w:p>
    <w:p w14:paraId="0C4C5991">
      <w:pPr>
        <w:spacing w:line="360" w:lineRule="auto"/>
        <w:outlineLvl w:val="0"/>
        <w:rPr>
          <w:rFonts w:eastAsia="仿宋"/>
          <w:color w:val="000000"/>
          <w:kern w:val="0"/>
          <w:sz w:val="24"/>
        </w:rPr>
      </w:pPr>
      <w:r>
        <w:rPr>
          <w:rFonts w:hint="eastAsia" w:eastAsia="仿宋"/>
          <w:color w:val="000000"/>
          <w:kern w:val="0"/>
          <w:sz w:val="24"/>
          <w:lang w:val="en-US" w:eastAsia="zh-CN"/>
        </w:rPr>
        <w:t xml:space="preserve">3.4.4 </w:t>
      </w:r>
      <w:r>
        <w:rPr>
          <w:rFonts w:eastAsia="仿宋"/>
          <w:color w:val="000000"/>
          <w:kern w:val="0"/>
          <w:sz w:val="24"/>
        </w:rPr>
        <w:t>伦理委员会接到项目审查申请后应</w:t>
      </w:r>
      <w:r>
        <w:rPr>
          <w:rFonts w:hint="eastAsia" w:eastAsia="仿宋"/>
          <w:color w:val="000000"/>
          <w:kern w:val="0"/>
          <w:sz w:val="24"/>
          <w:lang w:val="en-US" w:eastAsia="zh-CN"/>
        </w:rPr>
        <w:t>在30天内开展伦理审查并出具审查意见</w:t>
      </w:r>
      <w:r>
        <w:rPr>
          <w:rFonts w:eastAsia="仿宋"/>
          <w:color w:val="000000"/>
          <w:kern w:val="0"/>
          <w:sz w:val="24"/>
        </w:rPr>
        <w:t>。</w:t>
      </w:r>
    </w:p>
    <w:p w14:paraId="173B0464">
      <w:pPr>
        <w:spacing w:line="360" w:lineRule="auto"/>
        <w:outlineLvl w:val="0"/>
        <w:rPr>
          <w:rFonts w:eastAsia="仿宋"/>
          <w:color w:val="000000"/>
          <w:kern w:val="0"/>
          <w:sz w:val="24"/>
        </w:rPr>
      </w:pPr>
      <w:r>
        <w:rPr>
          <w:rFonts w:hint="eastAsia" w:eastAsia="仿宋"/>
          <w:color w:val="000000"/>
          <w:kern w:val="0"/>
          <w:sz w:val="24"/>
          <w:lang w:val="en-US" w:eastAsia="zh-CN"/>
        </w:rPr>
        <w:t xml:space="preserve">3.4.5 </w:t>
      </w:r>
      <w:r>
        <w:rPr>
          <w:rFonts w:eastAsia="仿宋"/>
          <w:color w:val="000000"/>
          <w:kern w:val="0"/>
          <w:sz w:val="24"/>
        </w:rPr>
        <w:t>遵循利益冲突政策，与研究项目存在利益冲突的委员或独立顾问应主动声明并退出该项目审查的讨论和决定程序。伦理委员会应审查研究人员与研究项目之间的利益冲突，必要时采取限制性措施。</w:t>
      </w:r>
    </w:p>
    <w:p w14:paraId="6F3D5325">
      <w:pPr>
        <w:spacing w:line="360" w:lineRule="auto"/>
        <w:outlineLvl w:val="0"/>
        <w:rPr>
          <w:rFonts w:eastAsia="仿宋"/>
          <w:color w:val="000000"/>
          <w:kern w:val="0"/>
          <w:sz w:val="24"/>
        </w:rPr>
      </w:pPr>
      <w:r>
        <w:rPr>
          <w:rFonts w:hint="eastAsia" w:eastAsia="仿宋"/>
          <w:color w:val="000000"/>
          <w:kern w:val="0"/>
          <w:sz w:val="24"/>
          <w:lang w:val="en-US" w:eastAsia="zh-CN"/>
        </w:rPr>
        <w:t xml:space="preserve">3.4.6 </w:t>
      </w:r>
      <w:r>
        <w:rPr>
          <w:rFonts w:eastAsia="仿宋"/>
          <w:color w:val="000000"/>
          <w:kern w:val="0"/>
          <w:sz w:val="24"/>
        </w:rPr>
        <w:t>伦理委员会委员/独立顾问对送审项目的文件负有保密责任和义务，审查完成后，及时交回所有送审文件与审查材料，不得私自复制与外传。</w:t>
      </w:r>
    </w:p>
    <w:p w14:paraId="7812AE43">
      <w:pPr>
        <w:spacing w:line="360" w:lineRule="auto"/>
        <w:outlineLvl w:val="0"/>
        <w:rPr>
          <w:rFonts w:eastAsia="仿宋"/>
          <w:color w:val="000000"/>
          <w:kern w:val="0"/>
          <w:sz w:val="24"/>
        </w:rPr>
      </w:pPr>
      <w:r>
        <w:rPr>
          <w:rFonts w:hint="eastAsia" w:eastAsia="仿宋"/>
          <w:color w:val="000000"/>
          <w:kern w:val="0"/>
          <w:sz w:val="24"/>
          <w:lang w:val="en-US" w:eastAsia="zh-CN"/>
        </w:rPr>
        <w:t xml:space="preserve">3.4.7 </w:t>
      </w:r>
      <w:r>
        <w:rPr>
          <w:rFonts w:eastAsia="仿宋"/>
          <w:color w:val="000000"/>
          <w:kern w:val="0"/>
          <w:sz w:val="24"/>
        </w:rPr>
        <w:t>伦理委员会接受医院质量管理部门对伦理委员会工作质量的检查评估；接受卫生行政部门、药品监督管理部门的监督管理；接受独立的、外部的质量评估或认证。伦理委员会对检查发现的问题采取相应的改进措施。</w:t>
      </w:r>
    </w:p>
    <w:p w14:paraId="084FBD7B">
      <w:pPr>
        <w:spacing w:line="360" w:lineRule="auto"/>
        <w:outlineLvl w:val="0"/>
        <w:rPr>
          <w:rFonts w:eastAsia="仿宋"/>
          <w:color w:val="000000"/>
          <w:kern w:val="0"/>
          <w:sz w:val="24"/>
        </w:rPr>
      </w:pPr>
      <w:r>
        <w:rPr>
          <w:rFonts w:hint="eastAsia" w:eastAsia="仿宋"/>
          <w:color w:val="000000"/>
          <w:kern w:val="0"/>
          <w:sz w:val="24"/>
          <w:lang w:val="en-US" w:eastAsia="zh-CN"/>
        </w:rPr>
        <w:t xml:space="preserve">3.4.8 </w:t>
      </w:r>
      <w:r>
        <w:rPr>
          <w:rFonts w:eastAsia="仿宋"/>
          <w:color w:val="000000"/>
          <w:kern w:val="0"/>
          <w:sz w:val="24"/>
        </w:rPr>
        <w:t>伦理委员会主任委员向分管院领导报告工作，向医院、卫生行政部门和药品监督管理部门报告年度伦理审查工作情况。医院质量管理部门负责受理伦理委员会决定的申诉或其他诉求。对伦理委员会违反法规的“同意”决定，医院质量管理部门可要求伦理委员会重新审查，或中止所批准的研究项目。</w:t>
      </w:r>
    </w:p>
    <w:p w14:paraId="71BF494E">
      <w:pPr>
        <w:spacing w:line="360" w:lineRule="auto"/>
        <w:outlineLvl w:val="0"/>
        <w:rPr>
          <w:rFonts w:eastAsia="仿宋"/>
          <w:color w:val="000000"/>
          <w:kern w:val="0"/>
          <w:sz w:val="24"/>
        </w:rPr>
      </w:pPr>
      <w:r>
        <w:rPr>
          <w:rFonts w:hint="eastAsia" w:eastAsia="仿宋"/>
          <w:color w:val="000000"/>
          <w:kern w:val="0"/>
          <w:sz w:val="24"/>
          <w:lang w:val="en-US" w:eastAsia="zh-CN"/>
        </w:rPr>
        <w:t xml:space="preserve">3.4.9 </w:t>
      </w:r>
      <w:r>
        <w:rPr>
          <w:rFonts w:eastAsia="仿宋"/>
          <w:color w:val="000000"/>
          <w:kern w:val="0"/>
          <w:sz w:val="24"/>
        </w:rPr>
        <w:t>伦理委员会与医院所有与受试者保护相关的部门协作，保证在本院内实施的所有</w:t>
      </w:r>
      <w:r>
        <w:rPr>
          <w:rFonts w:hint="eastAsia" w:eastAsia="仿宋"/>
          <w:color w:val="000000"/>
          <w:kern w:val="0"/>
          <w:sz w:val="24"/>
          <w:lang w:val="en-US" w:eastAsia="zh-CN"/>
        </w:rPr>
        <w:t>临床试验项目</w:t>
      </w:r>
      <w:r>
        <w:rPr>
          <w:rFonts w:eastAsia="仿宋"/>
          <w:color w:val="000000"/>
          <w:kern w:val="0"/>
          <w:sz w:val="24"/>
        </w:rPr>
        <w:t>都经过伦理审查，保证受试者的健康和权益得到保护。</w:t>
      </w:r>
    </w:p>
    <w:p w14:paraId="36333CBB">
      <w:pPr>
        <w:autoSpaceDE w:val="0"/>
        <w:autoSpaceDN w:val="0"/>
        <w:spacing w:line="360" w:lineRule="auto"/>
        <w:rPr>
          <w:rFonts w:hint="eastAsia" w:eastAsia="仿宋" w:cs="Times New Roman"/>
          <w:color w:val="000000"/>
          <w:kern w:val="0"/>
          <w:sz w:val="24"/>
          <w:lang w:val="en-US" w:eastAsia="zh-CN"/>
        </w:rPr>
      </w:pPr>
      <w:r>
        <w:rPr>
          <w:rFonts w:hint="eastAsia" w:eastAsia="仿宋" w:cs="Times New Roman"/>
          <w:color w:val="000000"/>
          <w:kern w:val="0"/>
          <w:sz w:val="24"/>
          <w:lang w:val="en-US" w:eastAsia="zh-CN"/>
        </w:rPr>
        <w:t>3.5 受试者的权益保障</w:t>
      </w:r>
    </w:p>
    <w:p w14:paraId="60EBB459">
      <w:pPr>
        <w:spacing w:line="360" w:lineRule="auto"/>
        <w:outlineLvl w:val="0"/>
        <w:rPr>
          <w:rFonts w:eastAsia="仿宋"/>
          <w:color w:val="000000"/>
          <w:kern w:val="0"/>
          <w:sz w:val="24"/>
        </w:rPr>
      </w:pPr>
      <w:r>
        <w:rPr>
          <w:rFonts w:hint="eastAsia" w:eastAsia="仿宋"/>
          <w:color w:val="000000"/>
          <w:kern w:val="0"/>
          <w:sz w:val="24"/>
          <w:lang w:val="en-US" w:eastAsia="zh-CN"/>
        </w:rPr>
        <w:t xml:space="preserve">3.5.1 </w:t>
      </w:r>
      <w:r>
        <w:rPr>
          <w:rFonts w:eastAsia="仿宋"/>
          <w:color w:val="000000"/>
          <w:kern w:val="0"/>
          <w:sz w:val="24"/>
        </w:rPr>
        <w:t>申请审查的项目须经伦理委员会审议同意并签署批准意见后方可实施。</w:t>
      </w:r>
    </w:p>
    <w:p w14:paraId="55B56053">
      <w:pPr>
        <w:spacing w:line="360" w:lineRule="auto"/>
        <w:outlineLvl w:val="0"/>
        <w:rPr>
          <w:rFonts w:eastAsia="仿宋"/>
          <w:color w:val="000000"/>
          <w:kern w:val="0"/>
          <w:sz w:val="24"/>
        </w:rPr>
      </w:pPr>
      <w:r>
        <w:rPr>
          <w:rFonts w:hint="eastAsia" w:eastAsia="仿宋"/>
          <w:color w:val="000000"/>
          <w:kern w:val="0"/>
          <w:sz w:val="24"/>
          <w:lang w:val="en-US" w:eastAsia="zh-CN"/>
        </w:rPr>
        <w:t xml:space="preserve">3.5.2 </w:t>
      </w:r>
      <w:r>
        <w:rPr>
          <w:rFonts w:eastAsia="仿宋"/>
          <w:color w:val="000000"/>
          <w:kern w:val="0"/>
          <w:sz w:val="24"/>
        </w:rPr>
        <w:t>在试验进行期间，试验方案的任何修改均应经医院伦理委员会再次审查批准。</w:t>
      </w:r>
    </w:p>
    <w:p w14:paraId="03232EBE">
      <w:pPr>
        <w:spacing w:line="360" w:lineRule="auto"/>
        <w:outlineLvl w:val="0"/>
        <w:rPr>
          <w:rFonts w:eastAsia="仿宋"/>
          <w:color w:val="000000"/>
          <w:kern w:val="0"/>
          <w:sz w:val="24"/>
        </w:rPr>
      </w:pPr>
      <w:r>
        <w:rPr>
          <w:rFonts w:hint="eastAsia" w:eastAsia="仿宋"/>
          <w:color w:val="000000"/>
          <w:kern w:val="0"/>
          <w:sz w:val="24"/>
          <w:lang w:val="en-US" w:eastAsia="zh-CN"/>
        </w:rPr>
        <w:t xml:space="preserve">3.5.3 </w:t>
      </w:r>
      <w:r>
        <w:rPr>
          <w:rFonts w:eastAsia="仿宋"/>
          <w:color w:val="000000"/>
          <w:kern w:val="0"/>
          <w:sz w:val="24"/>
        </w:rPr>
        <w:t>试验中发生任何严重不良事件，应及时报告</w:t>
      </w:r>
      <w:r>
        <w:rPr>
          <w:rFonts w:hint="eastAsia" w:eastAsia="仿宋"/>
          <w:color w:val="000000"/>
          <w:kern w:val="0"/>
          <w:sz w:val="24"/>
          <w:lang w:val="en-US" w:eastAsia="zh-CN"/>
        </w:rPr>
        <w:t>本</w:t>
      </w:r>
      <w:r>
        <w:rPr>
          <w:rFonts w:eastAsia="仿宋"/>
          <w:color w:val="000000"/>
          <w:kern w:val="0"/>
          <w:sz w:val="24"/>
        </w:rPr>
        <w:t>伦理委员会。</w:t>
      </w:r>
    </w:p>
    <w:p w14:paraId="7B56FCFE">
      <w:pPr>
        <w:autoSpaceDE w:val="0"/>
        <w:autoSpaceDN w:val="0"/>
        <w:spacing w:line="360" w:lineRule="auto"/>
        <w:rPr>
          <w:rFonts w:hint="eastAsia" w:eastAsia="仿宋" w:cs="Times New Roman"/>
          <w:color w:val="000000"/>
          <w:kern w:val="0"/>
          <w:sz w:val="24"/>
          <w:lang w:val="en-US" w:eastAsia="zh-CN"/>
        </w:rPr>
      </w:pPr>
      <w:r>
        <w:rPr>
          <w:rFonts w:hint="eastAsia" w:eastAsia="仿宋" w:cs="Times New Roman"/>
          <w:color w:val="000000"/>
          <w:kern w:val="0"/>
          <w:sz w:val="24"/>
          <w:lang w:val="en-US" w:eastAsia="zh-CN"/>
        </w:rPr>
        <w:t>3.6 附则</w:t>
      </w:r>
    </w:p>
    <w:p w14:paraId="78BA7652">
      <w:pPr>
        <w:spacing w:line="360" w:lineRule="auto"/>
        <w:outlineLvl w:val="0"/>
        <w:rPr>
          <w:rFonts w:hint="eastAsia" w:eastAsia="仿宋"/>
          <w:color w:val="000000"/>
          <w:kern w:val="0"/>
          <w:sz w:val="24"/>
          <w:lang w:val="en-US" w:eastAsia="zh-CN"/>
        </w:rPr>
      </w:pPr>
      <w:r>
        <w:rPr>
          <w:rFonts w:hint="eastAsia" w:eastAsia="仿宋"/>
          <w:color w:val="000000"/>
          <w:kern w:val="0"/>
          <w:sz w:val="24"/>
          <w:lang w:val="en-US" w:eastAsia="zh-CN"/>
        </w:rPr>
        <w:t>3.6.1 临床试验伦理委员会有对本章程进行解释和修改的权利。</w:t>
      </w:r>
    </w:p>
    <w:p w14:paraId="29B4D5F5">
      <w:pPr>
        <w:spacing w:line="360" w:lineRule="auto"/>
        <w:outlineLvl w:val="0"/>
        <w:rPr>
          <w:rFonts w:hint="eastAsia" w:eastAsia="仿宋"/>
          <w:color w:val="000000"/>
          <w:kern w:val="0"/>
          <w:sz w:val="24"/>
          <w:lang w:val="en-US" w:eastAsia="zh-CN"/>
        </w:rPr>
      </w:pPr>
      <w:r>
        <w:rPr>
          <w:rFonts w:hint="eastAsia" w:eastAsia="仿宋"/>
          <w:color w:val="000000"/>
          <w:kern w:val="0"/>
          <w:sz w:val="24"/>
          <w:lang w:val="en-US" w:eastAsia="zh-CN"/>
        </w:rPr>
        <w:t>3.6.2 本章程经福鼎市医院临床试验伦理委员会通过批准后生效。</w:t>
      </w:r>
    </w:p>
    <w:p w14:paraId="076469FC">
      <w:pPr>
        <w:spacing w:line="360" w:lineRule="auto"/>
        <w:ind w:firstLine="420"/>
        <w:outlineLvl w:val="0"/>
        <w:rPr>
          <w:rFonts w:eastAsia="仿宋"/>
          <w:color w:val="000000"/>
          <w:kern w:val="0"/>
          <w:sz w:val="24"/>
        </w:rPr>
      </w:pPr>
      <w:bookmarkStart w:id="0" w:name="_GoBack"/>
      <w:bookmarkEnd w:id="0"/>
    </w:p>
    <w:sectPr>
      <w:footerReference r:id="rId6" w:type="first"/>
      <w:headerReference r:id="rId3" w:type="default"/>
      <w:footerReference r:id="rId5" w:type="default"/>
      <w:headerReference r:id="rId4" w:type="even"/>
      <w:pgSz w:w="12189" w:h="15817"/>
      <w:pgMar w:top="1418" w:right="1418" w:bottom="1418" w:left="1418" w:header="850"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A773">
    <w:pPr>
      <w:pStyle w:val="8"/>
      <w:spacing w:after="120"/>
      <w:ind w:firstLine="90" w:firstLineChars="50"/>
      <w:jc w:val="center"/>
    </w:pPr>
    <w:r>
      <w:t xml:space="preserve">Page </w:t>
    </w:r>
    <w:r>
      <w:fldChar w:fldCharType="begin"/>
    </w:r>
    <w:r>
      <w:rPr>
        <w:rStyle w:val="15"/>
      </w:rPr>
      <w:instrText xml:space="preserve"> PAGE </w:instrText>
    </w:r>
    <w:r>
      <w:fldChar w:fldCharType="separate"/>
    </w:r>
    <w:r>
      <w:rPr>
        <w:rStyle w:val="15"/>
      </w:rPr>
      <w:t>5</w:t>
    </w:r>
    <w:r>
      <w:fldChar w:fldCharType="end"/>
    </w:r>
    <w:r>
      <w:rPr>
        <w:rStyle w:val="15"/>
      </w:rPr>
      <w:t xml:space="preserve"> of </w:t>
    </w:r>
    <w:r>
      <w:fldChar w:fldCharType="begin"/>
    </w:r>
    <w:r>
      <w:rPr>
        <w:rStyle w:val="15"/>
      </w:rPr>
      <w:instrText xml:space="preserve"> NUMPAGES </w:instrText>
    </w:r>
    <w:r>
      <w:fldChar w:fldCharType="separate"/>
    </w:r>
    <w:r>
      <w:rPr>
        <w:rStyle w:val="15"/>
      </w:rPr>
      <w:t>5</w:t>
    </w:r>
    <w:r>
      <w:fldChar w:fldCharType="end"/>
    </w:r>
  </w:p>
  <w:p w14:paraId="4C24AFD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5A9A">
    <w:pPr>
      <w:pStyle w:val="8"/>
      <w:spacing w:after="120"/>
      <w:ind w:firstLine="90" w:firstLineChars="50"/>
      <w:jc w:val="center"/>
    </w:pPr>
    <w:r>
      <w:t xml:space="preserve">Page </w:t>
    </w:r>
    <w:r>
      <w:fldChar w:fldCharType="begin"/>
    </w:r>
    <w:r>
      <w:rPr>
        <w:rStyle w:val="15"/>
      </w:rPr>
      <w:instrText xml:space="preserve"> PAGE </w:instrText>
    </w:r>
    <w:r>
      <w:fldChar w:fldCharType="separate"/>
    </w:r>
    <w:r>
      <w:t>2</w:t>
    </w:r>
    <w:r>
      <w:fldChar w:fldCharType="end"/>
    </w:r>
    <w:r>
      <w:rPr>
        <w:rStyle w:val="15"/>
      </w:rPr>
      <w:t xml:space="preserve"> of </w:t>
    </w:r>
    <w:r>
      <w:fldChar w:fldCharType="begin"/>
    </w:r>
    <w:r>
      <w:rPr>
        <w:rStyle w:val="15"/>
      </w:rPr>
      <w:instrText xml:space="preserve"> NUMPAGES </w:instrText>
    </w:r>
    <w:r>
      <w:fldChar w:fldCharType="separate"/>
    </w:r>
    <w:r>
      <w:t>4</w:t>
    </w:r>
    <w:r>
      <w:fldChar w:fldCharType="end"/>
    </w:r>
  </w:p>
  <w:p w14:paraId="70C01C7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pPr w:leftFromText="180" w:rightFromText="180" w:vertAnchor="text" w:horzAnchor="page" w:tblpX="1518" w:tblpY="3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2636"/>
      <w:gridCol w:w="1890"/>
    </w:tblGrid>
    <w:tr w14:paraId="4970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5" w:type="dxa"/>
          <w:vAlign w:val="center"/>
        </w:tcPr>
        <w:p w14:paraId="22A10D8D">
          <w:pPr>
            <w:tabs>
              <w:tab w:val="left" w:pos="978"/>
            </w:tabs>
            <w:spacing w:after="120"/>
            <w:rPr>
              <w:rFonts w:eastAsia="仿宋"/>
              <w:color w:val="000000" w:themeColor="text1"/>
              <w:kern w:val="0"/>
              <w:szCs w:val="21"/>
              <w:lang w:bidi="zh-TW"/>
              <w14:textFill>
                <w14:solidFill>
                  <w14:schemeClr w14:val="tx1"/>
                </w14:solidFill>
              </w14:textFill>
            </w:rPr>
          </w:pPr>
          <w:r>
            <w:rPr>
              <w:rFonts w:eastAsia="仿宋"/>
              <w:color w:val="000000" w:themeColor="text1"/>
              <w:kern w:val="0"/>
              <w:szCs w:val="21"/>
              <w:lang w:eastAsia="zh-Hans" w:bidi="zh-TW"/>
              <w14:textFill>
                <w14:solidFill>
                  <w14:schemeClr w14:val="tx1"/>
                </w14:solidFill>
              </w14:textFill>
            </w:rPr>
            <w:t>名称：</w:t>
          </w:r>
          <w:r>
            <w:rPr>
              <w:rFonts w:hint="eastAsia" w:eastAsia="仿宋"/>
              <w:color w:val="000000" w:themeColor="text1"/>
              <w:kern w:val="0"/>
              <w:szCs w:val="21"/>
              <w:lang w:eastAsia="zh-Hans" w:bidi="zh-TW"/>
              <w14:textFill>
                <w14:solidFill>
                  <w14:schemeClr w14:val="tx1"/>
                </w14:solidFill>
              </w14:textFill>
            </w:rPr>
            <w:t>伦理委员会章程</w:t>
          </w:r>
        </w:p>
      </w:tc>
      <w:tc>
        <w:tcPr>
          <w:tcW w:w="2636" w:type="dxa"/>
          <w:vAlign w:val="center"/>
        </w:tcPr>
        <w:p w14:paraId="627E5B4D">
          <w:pPr>
            <w:tabs>
              <w:tab w:val="left" w:pos="978"/>
            </w:tabs>
            <w:spacing w:after="120"/>
            <w:rPr>
              <w:rFonts w:eastAsia="仿宋"/>
              <w:color w:val="000000" w:themeColor="text1"/>
              <w:kern w:val="0"/>
              <w:szCs w:val="21"/>
              <w:lang w:eastAsia="zh-Hans" w:bidi="zh-TW"/>
              <w14:textFill>
                <w14:solidFill>
                  <w14:schemeClr w14:val="tx1"/>
                </w14:solidFill>
              </w14:textFill>
            </w:rPr>
          </w:pPr>
          <w:r>
            <w:rPr>
              <w:rFonts w:eastAsia="仿宋"/>
              <w:color w:val="000000" w:themeColor="text1"/>
              <w:kern w:val="0"/>
              <w:szCs w:val="21"/>
              <w:lang w:eastAsia="zh-Hans" w:bidi="zh-TW"/>
              <w14:textFill>
                <w14:solidFill>
                  <w14:schemeClr w14:val="tx1"/>
                </w14:solidFill>
              </w14:textFill>
            </w:rPr>
            <w:t>编号：</w:t>
          </w:r>
          <w:r>
            <w:rPr>
              <w:rFonts w:hint="eastAsia" w:eastAsia="仿宋"/>
              <w:color w:val="000000" w:themeColor="text1"/>
              <w:kern w:val="0"/>
              <w:szCs w:val="21"/>
              <w:lang w:val="zh-TW" w:bidi="zh-TW"/>
              <w14:textFill>
                <w14:solidFill>
                  <w14:schemeClr w14:val="tx1"/>
                </w14:solidFill>
              </w14:textFill>
            </w:rPr>
            <w:t>EC</w:t>
          </w:r>
          <w:r>
            <w:rPr>
              <w:rFonts w:eastAsia="仿宋"/>
              <w:color w:val="000000" w:themeColor="text1"/>
              <w:kern w:val="0"/>
              <w:szCs w:val="21"/>
              <w:lang w:val="zh-TW" w:bidi="zh-TW"/>
              <w14:textFill>
                <w14:solidFill>
                  <w14:schemeClr w14:val="tx1"/>
                </w14:solidFill>
              </w14:textFill>
            </w:rPr>
            <w:t>-</w:t>
          </w:r>
          <w:r>
            <w:rPr>
              <w:rFonts w:hint="eastAsia" w:eastAsia="仿宋"/>
              <w:color w:val="000000" w:themeColor="text1"/>
              <w:kern w:val="0"/>
              <w:szCs w:val="21"/>
              <w:lang w:bidi="zh-TW"/>
              <w14:textFill>
                <w14:solidFill>
                  <w14:schemeClr w14:val="tx1"/>
                </w14:solidFill>
              </w14:textFill>
            </w:rPr>
            <w:t>Z</w:t>
          </w:r>
          <w:r>
            <w:rPr>
              <w:rFonts w:hint="eastAsia" w:eastAsia="仿宋"/>
              <w:color w:val="000000" w:themeColor="text1"/>
              <w:kern w:val="0"/>
              <w:szCs w:val="21"/>
              <w:lang w:val="en-US" w:eastAsia="zh-CN" w:bidi="zh-TW"/>
              <w14:textFill>
                <w14:solidFill>
                  <w14:schemeClr w14:val="tx1"/>
                </w14:solidFill>
              </w14:textFill>
            </w:rPr>
            <w:t>C</w:t>
          </w:r>
          <w:r>
            <w:rPr>
              <w:rFonts w:eastAsia="仿宋"/>
              <w:color w:val="000000" w:themeColor="text1"/>
              <w:kern w:val="0"/>
              <w:szCs w:val="21"/>
              <w:lang w:val="zh-TW" w:bidi="zh-TW"/>
              <w14:textFill>
                <w14:solidFill>
                  <w14:schemeClr w14:val="tx1"/>
                </w14:solidFill>
              </w14:textFill>
            </w:rPr>
            <w:t>-00</w:t>
          </w:r>
          <w:r>
            <w:rPr>
              <w:rFonts w:hint="eastAsia" w:eastAsia="仿宋"/>
              <w:color w:val="000000" w:themeColor="text1"/>
              <w:kern w:val="0"/>
              <w:szCs w:val="21"/>
              <w:lang w:val="zh-TW" w:bidi="zh-TW"/>
              <w14:textFill>
                <w14:solidFill>
                  <w14:schemeClr w14:val="tx1"/>
                </w14:solidFill>
              </w14:textFill>
            </w:rPr>
            <w:t>1</w:t>
          </w:r>
        </w:p>
      </w:tc>
      <w:tc>
        <w:tcPr>
          <w:tcW w:w="1890" w:type="dxa"/>
          <w:vAlign w:val="center"/>
        </w:tcPr>
        <w:p w14:paraId="71C4F76D">
          <w:pPr>
            <w:tabs>
              <w:tab w:val="left" w:pos="978"/>
            </w:tabs>
            <w:spacing w:after="120"/>
            <w:rPr>
              <w:rFonts w:hint="eastAsia" w:eastAsia="仿宋"/>
              <w:color w:val="000000" w:themeColor="text1"/>
              <w:kern w:val="0"/>
              <w:szCs w:val="21"/>
              <w:lang w:eastAsia="zh-CN" w:bidi="zh-TW"/>
              <w14:textFill>
                <w14:solidFill>
                  <w14:schemeClr w14:val="tx1"/>
                </w14:solidFill>
              </w14:textFill>
            </w:rPr>
          </w:pPr>
          <w:r>
            <w:rPr>
              <w:rFonts w:eastAsia="仿宋"/>
              <w:color w:val="000000" w:themeColor="text1"/>
              <w:kern w:val="0"/>
              <w:szCs w:val="21"/>
              <w:lang w:eastAsia="zh-Hans" w:bidi="zh-TW"/>
              <w14:textFill>
                <w14:solidFill>
                  <w14:schemeClr w14:val="tx1"/>
                </w14:solidFill>
              </w14:textFill>
            </w:rPr>
            <w:t>总页数：</w:t>
          </w:r>
          <w:r>
            <w:rPr>
              <w:rFonts w:hint="eastAsia" w:eastAsia="仿宋"/>
              <w:color w:val="000000" w:themeColor="text1"/>
              <w:kern w:val="0"/>
              <w:szCs w:val="21"/>
              <w:lang w:val="en-US" w:eastAsia="zh-CN" w:bidi="zh-TW"/>
              <w14:textFill>
                <w14:solidFill>
                  <w14:schemeClr w14:val="tx1"/>
                </w14:solidFill>
              </w14:textFill>
            </w:rPr>
            <w:t>5</w:t>
          </w:r>
        </w:p>
      </w:tc>
    </w:tr>
  </w:tbl>
  <w:p w14:paraId="013E1C5B">
    <w:pPr>
      <w:pStyle w:val="9"/>
      <w:jc w:val="both"/>
      <w:rPr>
        <w:rFonts w:eastAsia="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F1BC">
    <w:pPr>
      <w:pStyle w:val="9"/>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791710" cy="4572635"/>
          <wp:effectExtent l="0" t="0" r="8890" b="14605"/>
          <wp:wrapNone/>
          <wp:docPr id="94790526" name="WordPictureWatermark689010" descr="一龄药物机构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0526" name="WordPictureWatermark689010" descr="一龄药物机构水印"/>
                  <pic:cNvPicPr>
                    <a:picLocks noChangeAspect="1"/>
                  </pic:cNvPicPr>
                </pic:nvPicPr>
                <pic:blipFill>
                  <a:blip r:embed="rId1"/>
                  <a:stretch>
                    <a:fillRect/>
                  </a:stretch>
                </pic:blipFill>
                <pic:spPr>
                  <a:xfrm>
                    <a:off x="0" y="0"/>
                    <a:ext cx="4791710" cy="45726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694A3"/>
    <w:multiLevelType w:val="singleLevel"/>
    <w:tmpl w:val="6C9694A3"/>
    <w:lvl w:ilvl="0" w:tentative="0">
      <w:start w:val="1"/>
      <w:numFmt w:val="chineseCounting"/>
      <w:suff w:val="nothing"/>
      <w:lvlText w:val="%1、"/>
      <w:lvlJc w:val="left"/>
      <w:rPr>
        <w:rFonts w:hint="eastAsia"/>
      </w:rPr>
    </w:lvl>
  </w:abstractNum>
  <w:abstractNum w:abstractNumId="1">
    <w:nsid w:val="74C0450E"/>
    <w:multiLevelType w:val="multilevel"/>
    <w:tmpl w:val="74C0450E"/>
    <w:lvl w:ilvl="0" w:tentative="0">
      <w:start w:val="1"/>
      <w:numFmt w:val="decimal"/>
      <w:pStyle w:val="2"/>
      <w:lvlText w:val="%1."/>
      <w:lvlJc w:val="left"/>
      <w:pPr>
        <w:ind w:left="420" w:hanging="420"/>
      </w:pPr>
      <w:rPr>
        <w:rFonts w:hint="eastAsia"/>
      </w:rPr>
    </w:lvl>
    <w:lvl w:ilvl="1" w:tentative="0">
      <w:start w:val="1"/>
      <w:numFmt w:val="decimal"/>
      <w:pStyle w:val="3"/>
      <w:lvlText w:val="%1.%2"/>
      <w:lvlJc w:val="left"/>
      <w:pPr>
        <w:ind w:left="576" w:hanging="576"/>
      </w:pPr>
      <w:rPr>
        <w:rFonts w:hint="default"/>
        <w:b/>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MzJjYTFkYzk3NTJjNmQ0MTU0MThhZDkzZDU4NGUifQ=="/>
    <w:docVar w:name="KY_MEDREF_DOCUID" w:val="{B500AC8E-1B8D-4423-B830-16CE2FE53F79}"/>
    <w:docVar w:name="KY_MEDREF_VERSION" w:val="3"/>
  </w:docVars>
  <w:rsids>
    <w:rsidRoot w:val="00324873"/>
    <w:rsid w:val="000141F8"/>
    <w:rsid w:val="00014837"/>
    <w:rsid w:val="0005249E"/>
    <w:rsid w:val="0006558D"/>
    <w:rsid w:val="00066ACF"/>
    <w:rsid w:val="000B37C6"/>
    <w:rsid w:val="000B5E90"/>
    <w:rsid w:val="000B7B3E"/>
    <w:rsid w:val="000D0899"/>
    <w:rsid w:val="00112105"/>
    <w:rsid w:val="00113BD4"/>
    <w:rsid w:val="00120BB3"/>
    <w:rsid w:val="001233E5"/>
    <w:rsid w:val="0014769A"/>
    <w:rsid w:val="00187794"/>
    <w:rsid w:val="00197ED0"/>
    <w:rsid w:val="001A6263"/>
    <w:rsid w:val="001B72FA"/>
    <w:rsid w:val="001C55B3"/>
    <w:rsid w:val="001F0CA0"/>
    <w:rsid w:val="00200F64"/>
    <w:rsid w:val="002060F4"/>
    <w:rsid w:val="00221995"/>
    <w:rsid w:val="00231124"/>
    <w:rsid w:val="00233335"/>
    <w:rsid w:val="00253328"/>
    <w:rsid w:val="00270B9A"/>
    <w:rsid w:val="0028446A"/>
    <w:rsid w:val="00293A52"/>
    <w:rsid w:val="002A3237"/>
    <w:rsid w:val="002D0EEE"/>
    <w:rsid w:val="00302230"/>
    <w:rsid w:val="00305B06"/>
    <w:rsid w:val="00324873"/>
    <w:rsid w:val="00333CA8"/>
    <w:rsid w:val="00346394"/>
    <w:rsid w:val="00361B0A"/>
    <w:rsid w:val="00366B2D"/>
    <w:rsid w:val="00416407"/>
    <w:rsid w:val="0043066A"/>
    <w:rsid w:val="00444D3C"/>
    <w:rsid w:val="0046565D"/>
    <w:rsid w:val="0047144D"/>
    <w:rsid w:val="0049125B"/>
    <w:rsid w:val="00492606"/>
    <w:rsid w:val="004A1726"/>
    <w:rsid w:val="004A24A9"/>
    <w:rsid w:val="004D4636"/>
    <w:rsid w:val="004E051B"/>
    <w:rsid w:val="004F07EF"/>
    <w:rsid w:val="004F6FB9"/>
    <w:rsid w:val="005070EE"/>
    <w:rsid w:val="00507A50"/>
    <w:rsid w:val="00547328"/>
    <w:rsid w:val="005529A8"/>
    <w:rsid w:val="0056411E"/>
    <w:rsid w:val="005841F6"/>
    <w:rsid w:val="00587D32"/>
    <w:rsid w:val="005A2E3A"/>
    <w:rsid w:val="005A620B"/>
    <w:rsid w:val="005B3C96"/>
    <w:rsid w:val="005C706F"/>
    <w:rsid w:val="00611854"/>
    <w:rsid w:val="00612D51"/>
    <w:rsid w:val="00616414"/>
    <w:rsid w:val="006173F0"/>
    <w:rsid w:val="00627BA1"/>
    <w:rsid w:val="006442C0"/>
    <w:rsid w:val="00645162"/>
    <w:rsid w:val="00655372"/>
    <w:rsid w:val="00655CA3"/>
    <w:rsid w:val="00693935"/>
    <w:rsid w:val="00694F46"/>
    <w:rsid w:val="006A09F3"/>
    <w:rsid w:val="006B197E"/>
    <w:rsid w:val="006C61D0"/>
    <w:rsid w:val="00716CA2"/>
    <w:rsid w:val="007746C7"/>
    <w:rsid w:val="00774702"/>
    <w:rsid w:val="007941CD"/>
    <w:rsid w:val="007A0822"/>
    <w:rsid w:val="007B4B5F"/>
    <w:rsid w:val="007B6379"/>
    <w:rsid w:val="007C0898"/>
    <w:rsid w:val="007D010F"/>
    <w:rsid w:val="007D6ABF"/>
    <w:rsid w:val="008300E7"/>
    <w:rsid w:val="00833977"/>
    <w:rsid w:val="00853D6F"/>
    <w:rsid w:val="008609A3"/>
    <w:rsid w:val="008849D0"/>
    <w:rsid w:val="008B3BD5"/>
    <w:rsid w:val="008B536D"/>
    <w:rsid w:val="008F21BD"/>
    <w:rsid w:val="008F4A33"/>
    <w:rsid w:val="00922155"/>
    <w:rsid w:val="00957508"/>
    <w:rsid w:val="00977916"/>
    <w:rsid w:val="00977BBC"/>
    <w:rsid w:val="009A187B"/>
    <w:rsid w:val="009B3812"/>
    <w:rsid w:val="009E3E37"/>
    <w:rsid w:val="009F5A50"/>
    <w:rsid w:val="00A50A66"/>
    <w:rsid w:val="00A54CBB"/>
    <w:rsid w:val="00A61FD8"/>
    <w:rsid w:val="00A64323"/>
    <w:rsid w:val="00A94A8B"/>
    <w:rsid w:val="00AB0336"/>
    <w:rsid w:val="00AC1682"/>
    <w:rsid w:val="00AD1B04"/>
    <w:rsid w:val="00B021FA"/>
    <w:rsid w:val="00B261DC"/>
    <w:rsid w:val="00B31BAC"/>
    <w:rsid w:val="00B8268B"/>
    <w:rsid w:val="00B94D2A"/>
    <w:rsid w:val="00BC1634"/>
    <w:rsid w:val="00BF1AB2"/>
    <w:rsid w:val="00BF54BD"/>
    <w:rsid w:val="00BF7602"/>
    <w:rsid w:val="00C02FE2"/>
    <w:rsid w:val="00C6576D"/>
    <w:rsid w:val="00C6679D"/>
    <w:rsid w:val="00C94DFF"/>
    <w:rsid w:val="00C95BDF"/>
    <w:rsid w:val="00CD4FED"/>
    <w:rsid w:val="00CD706C"/>
    <w:rsid w:val="00CF3BD0"/>
    <w:rsid w:val="00D01373"/>
    <w:rsid w:val="00D238BF"/>
    <w:rsid w:val="00D3518C"/>
    <w:rsid w:val="00D530DF"/>
    <w:rsid w:val="00DA1227"/>
    <w:rsid w:val="00DB2582"/>
    <w:rsid w:val="00DB4FC0"/>
    <w:rsid w:val="00DD1E65"/>
    <w:rsid w:val="00DF450D"/>
    <w:rsid w:val="00DF7A7C"/>
    <w:rsid w:val="00E42BBB"/>
    <w:rsid w:val="00E4511F"/>
    <w:rsid w:val="00ED31D8"/>
    <w:rsid w:val="00F22191"/>
    <w:rsid w:val="00F36AEC"/>
    <w:rsid w:val="00F427A6"/>
    <w:rsid w:val="00F44587"/>
    <w:rsid w:val="00F57EF6"/>
    <w:rsid w:val="00F82356"/>
    <w:rsid w:val="00F873DB"/>
    <w:rsid w:val="00FA50C1"/>
    <w:rsid w:val="00FA5E98"/>
    <w:rsid w:val="00FA737F"/>
    <w:rsid w:val="00FB0BC9"/>
    <w:rsid w:val="00FC7FC7"/>
    <w:rsid w:val="00FD51B4"/>
    <w:rsid w:val="00FE5914"/>
    <w:rsid w:val="00FE6408"/>
    <w:rsid w:val="01C7267B"/>
    <w:rsid w:val="02447105"/>
    <w:rsid w:val="02EB683F"/>
    <w:rsid w:val="035C0AD3"/>
    <w:rsid w:val="03AC532E"/>
    <w:rsid w:val="0460536B"/>
    <w:rsid w:val="05AA2098"/>
    <w:rsid w:val="05C91685"/>
    <w:rsid w:val="06C30411"/>
    <w:rsid w:val="07505630"/>
    <w:rsid w:val="081D1D58"/>
    <w:rsid w:val="08574248"/>
    <w:rsid w:val="08BE1F4F"/>
    <w:rsid w:val="09861B03"/>
    <w:rsid w:val="09933B2A"/>
    <w:rsid w:val="09FC6A13"/>
    <w:rsid w:val="0B1B2D74"/>
    <w:rsid w:val="0CA81712"/>
    <w:rsid w:val="109913AA"/>
    <w:rsid w:val="12940CDD"/>
    <w:rsid w:val="13D231A4"/>
    <w:rsid w:val="14247167"/>
    <w:rsid w:val="14506FB9"/>
    <w:rsid w:val="15AF7B11"/>
    <w:rsid w:val="16653FA8"/>
    <w:rsid w:val="16B94831"/>
    <w:rsid w:val="173456CD"/>
    <w:rsid w:val="181753B3"/>
    <w:rsid w:val="18736D71"/>
    <w:rsid w:val="1A060F88"/>
    <w:rsid w:val="1A3D06E7"/>
    <w:rsid w:val="1C542CB5"/>
    <w:rsid w:val="1E2410DB"/>
    <w:rsid w:val="1E3E3BFF"/>
    <w:rsid w:val="1F8658EE"/>
    <w:rsid w:val="20252C62"/>
    <w:rsid w:val="218775AB"/>
    <w:rsid w:val="21E71C76"/>
    <w:rsid w:val="227B6E3E"/>
    <w:rsid w:val="228E4DC3"/>
    <w:rsid w:val="22BE6D2B"/>
    <w:rsid w:val="23BA521C"/>
    <w:rsid w:val="245C2566"/>
    <w:rsid w:val="25A246E2"/>
    <w:rsid w:val="26C51D69"/>
    <w:rsid w:val="28034721"/>
    <w:rsid w:val="28447264"/>
    <w:rsid w:val="28A04A74"/>
    <w:rsid w:val="2A0F7976"/>
    <w:rsid w:val="2A4E13C5"/>
    <w:rsid w:val="2AA2659C"/>
    <w:rsid w:val="2ACF41CB"/>
    <w:rsid w:val="2CC34324"/>
    <w:rsid w:val="2CC52287"/>
    <w:rsid w:val="2E8B0409"/>
    <w:rsid w:val="2F454A5C"/>
    <w:rsid w:val="2F8F6417"/>
    <w:rsid w:val="2FE4107B"/>
    <w:rsid w:val="31EC7411"/>
    <w:rsid w:val="3405313B"/>
    <w:rsid w:val="35282E14"/>
    <w:rsid w:val="35DB3C07"/>
    <w:rsid w:val="3608233F"/>
    <w:rsid w:val="361F3E81"/>
    <w:rsid w:val="36BC0566"/>
    <w:rsid w:val="36FF32A5"/>
    <w:rsid w:val="37DC51AD"/>
    <w:rsid w:val="37FF6417"/>
    <w:rsid w:val="38E70ADA"/>
    <w:rsid w:val="3905525C"/>
    <w:rsid w:val="396345C8"/>
    <w:rsid w:val="39F8091D"/>
    <w:rsid w:val="3D042C47"/>
    <w:rsid w:val="3D4225DB"/>
    <w:rsid w:val="3DAD7F24"/>
    <w:rsid w:val="3E6F30E8"/>
    <w:rsid w:val="3E7569E0"/>
    <w:rsid w:val="3E8E35FE"/>
    <w:rsid w:val="3FE542AF"/>
    <w:rsid w:val="405A6E2E"/>
    <w:rsid w:val="40FA3A3A"/>
    <w:rsid w:val="413C0A0E"/>
    <w:rsid w:val="42C04627"/>
    <w:rsid w:val="44560E20"/>
    <w:rsid w:val="45B61DB8"/>
    <w:rsid w:val="47FD3CCE"/>
    <w:rsid w:val="480C133A"/>
    <w:rsid w:val="484139BF"/>
    <w:rsid w:val="48A25FFB"/>
    <w:rsid w:val="49C669D2"/>
    <w:rsid w:val="4A0D3F70"/>
    <w:rsid w:val="4AAD3C2B"/>
    <w:rsid w:val="4C007AD4"/>
    <w:rsid w:val="4CF2584D"/>
    <w:rsid w:val="4EE554BC"/>
    <w:rsid w:val="4F3C73E4"/>
    <w:rsid w:val="4F8D7BBC"/>
    <w:rsid w:val="52492568"/>
    <w:rsid w:val="52782C0E"/>
    <w:rsid w:val="530F37D0"/>
    <w:rsid w:val="535427B8"/>
    <w:rsid w:val="537C1911"/>
    <w:rsid w:val="53F71F19"/>
    <w:rsid w:val="547745FD"/>
    <w:rsid w:val="54B956AB"/>
    <w:rsid w:val="571A1A7B"/>
    <w:rsid w:val="573F48CC"/>
    <w:rsid w:val="577454BB"/>
    <w:rsid w:val="57853398"/>
    <w:rsid w:val="587D0513"/>
    <w:rsid w:val="58F12F9A"/>
    <w:rsid w:val="5A0777F3"/>
    <w:rsid w:val="5A697A69"/>
    <w:rsid w:val="5A9C4146"/>
    <w:rsid w:val="5C7A154A"/>
    <w:rsid w:val="5C827F14"/>
    <w:rsid w:val="61062119"/>
    <w:rsid w:val="61C3168D"/>
    <w:rsid w:val="633E00B1"/>
    <w:rsid w:val="63FD2822"/>
    <w:rsid w:val="65292F0B"/>
    <w:rsid w:val="655053BB"/>
    <w:rsid w:val="65C0638D"/>
    <w:rsid w:val="65DE01D5"/>
    <w:rsid w:val="66480466"/>
    <w:rsid w:val="668B2A32"/>
    <w:rsid w:val="66A9636E"/>
    <w:rsid w:val="66C54E72"/>
    <w:rsid w:val="66EF6A80"/>
    <w:rsid w:val="67D92736"/>
    <w:rsid w:val="6866334B"/>
    <w:rsid w:val="6ACD0E86"/>
    <w:rsid w:val="6BA27505"/>
    <w:rsid w:val="6C4E1412"/>
    <w:rsid w:val="6CC61380"/>
    <w:rsid w:val="6E973F85"/>
    <w:rsid w:val="6F565525"/>
    <w:rsid w:val="70604A50"/>
    <w:rsid w:val="706978A3"/>
    <w:rsid w:val="72860BAE"/>
    <w:rsid w:val="75175B20"/>
    <w:rsid w:val="77434C11"/>
    <w:rsid w:val="78645344"/>
    <w:rsid w:val="792B4A1D"/>
    <w:rsid w:val="792B7B2D"/>
    <w:rsid w:val="7C9C2DAE"/>
    <w:rsid w:val="7CE87DA1"/>
    <w:rsid w:val="7D5C7C87"/>
    <w:rsid w:val="7F5626F5"/>
    <w:rsid w:val="7F8E3C13"/>
    <w:rsid w:val="7FAA3126"/>
    <w:rsid w:val="7FDD5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numPr>
        <w:ilvl w:val="0"/>
        <w:numId w:val="1"/>
      </w:numPr>
      <w:spacing w:beforeLines="75" w:afterLines="75" w:line="360" w:lineRule="auto"/>
      <w:ind w:left="0" w:firstLine="0"/>
      <w:jc w:val="left"/>
      <w:outlineLvl w:val="0"/>
    </w:pPr>
    <w:rPr>
      <w:b/>
      <w:bCs/>
      <w:kern w:val="44"/>
      <w:sz w:val="28"/>
      <w:szCs w:val="44"/>
    </w:rPr>
  </w:style>
  <w:style w:type="paragraph" w:styleId="3">
    <w:name w:val="heading 2"/>
    <w:basedOn w:val="1"/>
    <w:next w:val="1"/>
    <w:qFormat/>
    <w:uiPriority w:val="0"/>
    <w:pPr>
      <w:keepNext/>
      <w:keepLines/>
      <w:widowControl/>
      <w:numPr>
        <w:ilvl w:val="1"/>
        <w:numId w:val="1"/>
      </w:numPr>
      <w:adjustRightInd w:val="0"/>
      <w:snapToGrid w:val="0"/>
      <w:spacing w:beforeLines="75" w:afterLines="75" w:line="360" w:lineRule="auto"/>
      <w:ind w:left="0" w:firstLine="0"/>
      <w:jc w:val="left"/>
      <w:outlineLvl w:val="1"/>
    </w:pPr>
    <w:rPr>
      <w:rFonts w:cs="宋体"/>
      <w:bCs/>
      <w:sz w:val="24"/>
    </w:rPr>
  </w:style>
  <w:style w:type="paragraph" w:styleId="4">
    <w:name w:val="heading 3"/>
    <w:basedOn w:val="1"/>
    <w:next w:val="1"/>
    <w:unhideWhenUsed/>
    <w:qFormat/>
    <w:uiPriority w:val="0"/>
    <w:pPr>
      <w:keepLines/>
      <w:widowControl/>
      <w:numPr>
        <w:ilvl w:val="2"/>
        <w:numId w:val="1"/>
      </w:numPr>
      <w:adjustRightInd w:val="0"/>
      <w:snapToGrid w:val="0"/>
      <w:spacing w:beforeLines="75" w:afterLines="75" w:line="300" w:lineRule="auto"/>
      <w:ind w:left="0" w:firstLine="0"/>
      <w:jc w:val="left"/>
      <w:outlineLvl w:val="2"/>
    </w:pPr>
    <w:rPr>
      <w:bCs/>
      <w:sz w:val="24"/>
      <w:szCs w:val="32"/>
    </w:rPr>
  </w:style>
  <w:style w:type="paragraph" w:styleId="5">
    <w:name w:val="heading 4"/>
    <w:basedOn w:val="1"/>
    <w:next w:val="1"/>
    <w:unhideWhenUsed/>
    <w:qFormat/>
    <w:uiPriority w:val="0"/>
    <w:pPr>
      <w:keepNext/>
      <w:keepLines/>
      <w:widowControl/>
      <w:numPr>
        <w:ilvl w:val="3"/>
        <w:numId w:val="1"/>
      </w:numPr>
      <w:snapToGrid w:val="0"/>
      <w:spacing w:beforeLines="25" w:afterLines="25" w:line="300" w:lineRule="auto"/>
      <w:ind w:left="0" w:firstLine="0"/>
      <w:jc w:val="left"/>
      <w:outlineLvl w:val="3"/>
    </w:pPr>
    <w:rPr>
      <w:bCs/>
      <w:sz w:val="24"/>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qFormat/>
    <w:uiPriority w:val="0"/>
    <w:pPr>
      <w:jc w:val="left"/>
    </w:pPr>
  </w:style>
  <w:style w:type="paragraph" w:styleId="7">
    <w:name w:val="Balloon Text"/>
    <w:basedOn w:val="1"/>
    <w:link w:val="21"/>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18"/>
    <w:qFormat/>
    <w:uiPriority w:val="0"/>
    <w:pPr>
      <w:shd w:val="clear" w:color="auto" w:fill="FFFFFF" w:themeFill="background1"/>
      <w:tabs>
        <w:tab w:val="center" w:pos="4153"/>
        <w:tab w:val="right" w:pos="8306"/>
      </w:tabs>
      <w:snapToGrid w:val="0"/>
      <w:jc w:val="center"/>
    </w:pPr>
    <w:rPr>
      <w:sz w:val="18"/>
      <w:szCs w:val="18"/>
    </w:rPr>
  </w:style>
  <w:style w:type="paragraph" w:styleId="10">
    <w:name w:val="Title"/>
    <w:basedOn w:val="1"/>
    <w:qFormat/>
    <w:uiPriority w:val="0"/>
    <w:pPr>
      <w:spacing w:afterLines="50"/>
      <w:jc w:val="center"/>
    </w:pPr>
    <w:rPr>
      <w:rFonts w:ascii="Arial" w:hAnsi="Arial"/>
      <w:kern w:val="0"/>
      <w:sz w:val="24"/>
    </w:rPr>
  </w:style>
  <w:style w:type="paragraph" w:styleId="11">
    <w:name w:val="annotation subject"/>
    <w:basedOn w:val="6"/>
    <w:next w:val="6"/>
    <w:link w:val="23"/>
    <w:semiHidden/>
    <w:unhideWhenUsed/>
    <w:qFormat/>
    <w:uiPriority w:val="0"/>
    <w:rPr>
      <w:b/>
      <w:bCs/>
    </w:rPr>
  </w:style>
  <w:style w:type="table" w:styleId="13">
    <w:name w:val="Table Grid"/>
    <w:basedOn w:val="12"/>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basedOn w:val="14"/>
    <w:qFormat/>
    <w:uiPriority w:val="0"/>
    <w:rPr>
      <w:sz w:val="21"/>
      <w:szCs w:val="21"/>
    </w:rPr>
  </w:style>
  <w:style w:type="paragraph" w:styleId="17">
    <w:name w:val="List Paragraph"/>
    <w:basedOn w:val="1"/>
    <w:qFormat/>
    <w:uiPriority w:val="99"/>
    <w:pPr>
      <w:ind w:firstLine="420" w:firstLineChars="200"/>
    </w:pPr>
  </w:style>
  <w:style w:type="character" w:customStyle="1" w:styleId="18">
    <w:name w:val="页眉 字符"/>
    <w:basedOn w:val="14"/>
    <w:link w:val="9"/>
    <w:qFormat/>
    <w:uiPriority w:val="0"/>
    <w:rPr>
      <w:kern w:val="2"/>
      <w:sz w:val="18"/>
      <w:szCs w:val="18"/>
      <w:shd w:val="clear" w:color="auto" w:fill="FFFFFF" w:themeFill="background1"/>
    </w:rPr>
  </w:style>
  <w:style w:type="character" w:customStyle="1" w:styleId="19">
    <w:name w:val="页脚 字符"/>
    <w:basedOn w:val="14"/>
    <w:link w:val="8"/>
    <w:qFormat/>
    <w:uiPriority w:val="99"/>
    <w:rPr>
      <w:rFonts w:ascii="Times New Roman" w:hAnsi="Times New Roman" w:eastAsia="宋体" w:cs="Times New Roman"/>
      <w:kern w:val="2"/>
      <w:sz w:val="18"/>
      <w:szCs w:val="24"/>
    </w:rPr>
  </w:style>
  <w:style w:type="paragraph" w:customStyle="1" w:styleId="20">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21">
    <w:name w:val="批注框文本 字符"/>
    <w:basedOn w:val="14"/>
    <w:link w:val="7"/>
    <w:qFormat/>
    <w:uiPriority w:val="0"/>
    <w:rPr>
      <w:kern w:val="2"/>
      <w:sz w:val="18"/>
      <w:szCs w:val="18"/>
    </w:rPr>
  </w:style>
  <w:style w:type="character" w:customStyle="1" w:styleId="22">
    <w:name w:val="批注文字 字符"/>
    <w:basedOn w:val="14"/>
    <w:link w:val="6"/>
    <w:qFormat/>
    <w:uiPriority w:val="0"/>
    <w:rPr>
      <w:kern w:val="2"/>
      <w:sz w:val="21"/>
      <w:szCs w:val="24"/>
    </w:rPr>
  </w:style>
  <w:style w:type="character" w:customStyle="1" w:styleId="23">
    <w:name w:val="批注主题 字符"/>
    <w:basedOn w:val="22"/>
    <w:link w:val="11"/>
    <w:semiHidden/>
    <w:qFormat/>
    <w:uiPriority w:val="0"/>
    <w:rPr>
      <w:b/>
      <w:bCs/>
      <w:kern w:val="2"/>
      <w:sz w:val="21"/>
      <w:szCs w:val="24"/>
    </w:rPr>
  </w:style>
  <w:style w:type="table" w:customStyle="1" w:styleId="24">
    <w:name w:val="网格型1"/>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Other|1"/>
    <w:basedOn w:val="1"/>
    <w:autoRedefine/>
    <w:qFormat/>
    <w:uiPriority w:val="0"/>
    <w:pPr>
      <w:spacing w:line="298" w:lineRule="auto"/>
      <w:jc w:val="left"/>
    </w:pPr>
    <w:rPr>
      <w:rFonts w:ascii="宋体" w:hAnsi="宋体" w:cs="宋体"/>
      <w:color w:val="000000"/>
      <w:kern w:val="0"/>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3226</Words>
  <Characters>3432</Characters>
  <Lines>25</Lines>
  <Paragraphs>7</Paragraphs>
  <TotalTime>1894</TotalTime>
  <ScaleCrop>false</ScaleCrop>
  <LinksUpToDate>false</LinksUpToDate>
  <CharactersWithSpaces>3470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2021-03-08T05:37:00Z</dcterms:created>
  <dc:creator>Tigermed</dc:creator>
  <cp:lastModifiedBy>Administrator</cp:lastModifiedBy>
  <dcterms:modified xsi:type="dcterms:W3CDTF">2025-07-15T11:35:08Z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1B78DB8E83B2449EA9F9E6466303DE42_13</vt:lpwstr>
  </property>
  <property fmtid="{D5CDD505-2E9C-101B-9397-08002B2CF9AE}" pid="4" name="KSOTemplateDocerSaveRecord">
    <vt:lpwstr>eyJoZGlkIjoiZWJmODIzN2JlNjg0ZTU2YWEyZTQ4MTA5NGQwZThhMWUiLCJ1c2VySWQiOiIyNDg4NTg0NjMifQ==</vt:lpwstr>
  </property>
</Properties>
</file>